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rPr>
      </w:pPr>
    </w:p>
    <w:p>
      <w:pPr>
        <w:spacing w:line="360" w:lineRule="auto"/>
      </w:pPr>
    </w:p>
    <w:p>
      <w:pPr>
        <w:spacing w:line="360" w:lineRule="auto"/>
        <w:rPr>
          <w:sz w:val="48"/>
        </w:rPr>
      </w:pPr>
    </w:p>
    <w:p>
      <w:pPr>
        <w:spacing w:line="360" w:lineRule="auto"/>
        <w:jc w:val="center"/>
        <w:rPr>
          <w:b/>
          <w:sz w:val="52"/>
        </w:rPr>
      </w:pPr>
      <w:r>
        <w:rPr>
          <w:b/>
          <w:sz w:val="52"/>
        </w:rPr>
        <w:t>建设项目环境影响报告表</w:t>
      </w:r>
    </w:p>
    <w:p>
      <w:pPr>
        <w:spacing w:line="360" w:lineRule="auto"/>
        <w:rPr>
          <w:b/>
          <w:sz w:val="32"/>
        </w:rPr>
      </w:pPr>
    </w:p>
    <w:p>
      <w:pPr>
        <w:spacing w:line="360" w:lineRule="auto"/>
        <w:rPr>
          <w:b/>
          <w:sz w:val="32"/>
        </w:rPr>
      </w:pPr>
    </w:p>
    <w:p>
      <w:pPr>
        <w:spacing w:line="360" w:lineRule="auto"/>
        <w:rPr>
          <w:b/>
          <w:sz w:val="32"/>
        </w:rPr>
      </w:pPr>
    </w:p>
    <w:p>
      <w:pPr>
        <w:spacing w:line="360" w:lineRule="auto"/>
        <w:rPr>
          <w:b/>
          <w:sz w:val="32"/>
        </w:rPr>
      </w:pPr>
    </w:p>
    <w:p>
      <w:pPr>
        <w:spacing w:line="360" w:lineRule="auto"/>
        <w:rPr>
          <w:b/>
          <w:sz w:val="32"/>
        </w:rPr>
      </w:pPr>
    </w:p>
    <w:p>
      <w:pPr>
        <w:spacing w:line="360" w:lineRule="auto"/>
        <w:rPr>
          <w:b/>
          <w:sz w:val="32"/>
        </w:rPr>
      </w:pPr>
    </w:p>
    <w:p>
      <w:pPr>
        <w:spacing w:line="360" w:lineRule="auto"/>
        <w:ind w:left="2344" w:leftChars="688" w:hanging="900" w:hangingChars="250"/>
        <w:rPr>
          <w:b/>
          <w:sz w:val="36"/>
          <w:szCs w:val="36"/>
          <w:u w:val="single"/>
        </w:rPr>
      </w:pPr>
      <w:r>
        <w:rPr>
          <w:b/>
          <w:sz w:val="36"/>
        </w:rPr>
        <w:t>项目名称：</w:t>
      </w:r>
      <w:r>
        <w:rPr>
          <w:rFonts w:hint="eastAsia"/>
          <w:b/>
          <w:sz w:val="32"/>
          <w:szCs w:val="32"/>
          <w:u w:val="single"/>
        </w:rPr>
        <w:t>木质纤维粉加工、销售项目</w:t>
      </w:r>
    </w:p>
    <w:p>
      <w:pPr>
        <w:spacing w:line="360" w:lineRule="auto"/>
        <w:rPr>
          <w:b/>
          <w:sz w:val="32"/>
          <w:u w:val="single"/>
        </w:rPr>
      </w:pPr>
      <w:r>
        <w:rPr>
          <w:b/>
          <w:sz w:val="36"/>
        </w:rPr>
        <w:t>建设单位（盖章）：</w:t>
      </w:r>
      <w:r>
        <w:rPr>
          <w:rFonts w:hint="eastAsia"/>
          <w:b/>
          <w:sz w:val="32"/>
          <w:szCs w:val="32"/>
          <w:u w:val="single"/>
        </w:rPr>
        <w:t>沭阳县光旺木制品有限公司</w:t>
      </w:r>
    </w:p>
    <w:p>
      <w:pPr>
        <w:spacing w:line="360" w:lineRule="auto"/>
        <w:rPr>
          <w:b/>
          <w:sz w:val="32"/>
        </w:rPr>
      </w:pPr>
    </w:p>
    <w:p>
      <w:pPr>
        <w:spacing w:line="360" w:lineRule="auto"/>
        <w:rPr>
          <w:b/>
          <w:sz w:val="32"/>
        </w:rPr>
      </w:pPr>
    </w:p>
    <w:p>
      <w:pPr>
        <w:spacing w:line="360" w:lineRule="auto"/>
        <w:rPr>
          <w:b/>
          <w:sz w:val="32"/>
        </w:rPr>
      </w:pPr>
    </w:p>
    <w:p>
      <w:pPr>
        <w:spacing w:line="360" w:lineRule="auto"/>
        <w:rPr>
          <w:b/>
          <w:sz w:val="32"/>
        </w:rPr>
      </w:pPr>
    </w:p>
    <w:p>
      <w:pPr>
        <w:spacing w:line="360" w:lineRule="auto"/>
        <w:rPr>
          <w:b/>
          <w:sz w:val="32"/>
        </w:rPr>
      </w:pPr>
    </w:p>
    <w:p>
      <w:pPr>
        <w:jc w:val="center"/>
        <w:rPr>
          <w:b/>
          <w:sz w:val="36"/>
        </w:rPr>
      </w:pPr>
      <w:r>
        <w:rPr>
          <w:b/>
          <w:sz w:val="36"/>
        </w:rPr>
        <w:t>编制日期：201</w:t>
      </w:r>
      <w:r>
        <w:rPr>
          <w:rFonts w:hint="eastAsia"/>
          <w:b/>
          <w:sz w:val="36"/>
        </w:rPr>
        <w:t>9</w:t>
      </w:r>
      <w:r>
        <w:rPr>
          <w:b/>
          <w:sz w:val="36"/>
        </w:rPr>
        <w:t>年</w:t>
      </w:r>
      <w:r>
        <w:rPr>
          <w:rFonts w:hint="eastAsia"/>
          <w:b/>
          <w:sz w:val="36"/>
          <w:lang w:val="en-US" w:eastAsia="zh-CN"/>
        </w:rPr>
        <w:t>11</w:t>
      </w:r>
      <w:r>
        <w:rPr>
          <w:b/>
          <w:sz w:val="36"/>
        </w:rPr>
        <w:t>月</w:t>
      </w:r>
    </w:p>
    <w:p>
      <w:pPr>
        <w:jc w:val="center"/>
        <w:rPr>
          <w:b/>
          <w:sz w:val="36"/>
        </w:rPr>
      </w:pPr>
      <w:r>
        <w:rPr>
          <w:b/>
          <w:sz w:val="36"/>
        </w:rPr>
        <w:t>江苏省环保厅制</w:t>
      </w:r>
    </w:p>
    <w:p>
      <w:pPr>
        <w:spacing w:line="360" w:lineRule="auto"/>
        <w:jc w:val="center"/>
        <w:rPr>
          <w:sz w:val="32"/>
        </w:rPr>
      </w:pPr>
    </w:p>
    <w:p>
      <w:pPr>
        <w:spacing w:line="360" w:lineRule="auto"/>
        <w:jc w:val="center"/>
        <w:rPr>
          <w:sz w:val="32"/>
        </w:rPr>
      </w:pPr>
    </w:p>
    <w:p>
      <w:pPr>
        <w:spacing w:line="360" w:lineRule="auto"/>
        <w:jc w:val="center"/>
        <w:rPr>
          <w:sz w:val="32"/>
        </w:rPr>
      </w:pPr>
      <w:r>
        <w:rPr>
          <w:sz w:val="32"/>
        </w:rPr>
        <w:pict>
          <v:rect id="_x0000_s1026" o:spid="_x0000_s1026" o:spt="1" style="position:absolute;left:0pt;margin-left:182.85pt;margin-top:46.05pt;height:33.75pt;width:50.25pt;z-index:251696128;mso-width-relative:page;mso-height-relative:page;" stroked="f" coordsize="21600,21600">
            <v:path/>
            <v:fill focussize="0,0"/>
            <v:stroke on="f" dashstyle="dash"/>
            <v:imagedata o:title=""/>
            <o:lock v:ext="edit"/>
          </v:rect>
        </w:pict>
      </w:r>
    </w:p>
    <w:p>
      <w:pPr>
        <w:spacing w:line="480" w:lineRule="auto"/>
        <w:jc w:val="center"/>
        <w:rPr>
          <w:b/>
          <w:sz w:val="24"/>
          <w:szCs w:val="24"/>
        </w:rPr>
      </w:pPr>
      <w:r>
        <w:rPr>
          <w:b/>
          <w:sz w:val="24"/>
          <w:szCs w:val="24"/>
        </w:rPr>
        <w:t>《建设项目环境影响报告表》编制说明</w:t>
      </w:r>
    </w:p>
    <w:p>
      <w:pPr>
        <w:spacing w:line="480" w:lineRule="auto"/>
        <w:ind w:firstLine="480" w:firstLineChars="200"/>
        <w:jc w:val="center"/>
        <w:rPr>
          <w:sz w:val="24"/>
          <w:szCs w:val="24"/>
        </w:rPr>
      </w:pPr>
    </w:p>
    <w:p>
      <w:pPr>
        <w:spacing w:line="480" w:lineRule="auto"/>
        <w:ind w:firstLine="480" w:firstLineChars="200"/>
        <w:rPr>
          <w:sz w:val="24"/>
          <w:szCs w:val="24"/>
        </w:rPr>
      </w:pPr>
      <w:r>
        <w:rPr>
          <w:sz w:val="24"/>
          <w:szCs w:val="24"/>
        </w:rPr>
        <w:t>《建设项目环境影响报告表》由具有从事环境影响评价工作资质的单位编制。</w:t>
      </w:r>
    </w:p>
    <w:p>
      <w:pPr>
        <w:spacing w:line="480" w:lineRule="auto"/>
        <w:ind w:firstLine="480" w:firstLineChars="200"/>
        <w:rPr>
          <w:sz w:val="24"/>
          <w:szCs w:val="24"/>
        </w:rPr>
      </w:pPr>
      <w:r>
        <w:rPr>
          <w:sz w:val="24"/>
          <w:szCs w:val="24"/>
        </w:rPr>
        <w:t>1、项目名称——指项目立项批复时的名称，应不超过30个字（两个英文字段作一个汉字）。</w:t>
      </w:r>
    </w:p>
    <w:p>
      <w:pPr>
        <w:spacing w:line="480" w:lineRule="auto"/>
        <w:ind w:firstLine="480" w:firstLineChars="200"/>
        <w:rPr>
          <w:sz w:val="24"/>
          <w:szCs w:val="24"/>
        </w:rPr>
      </w:pPr>
      <w:r>
        <w:rPr>
          <w:sz w:val="24"/>
          <w:szCs w:val="24"/>
        </w:rPr>
        <w:t>2、建设地点——指项目所在地详细地址，公路、铁路应填写起止地点。</w:t>
      </w:r>
    </w:p>
    <w:p>
      <w:pPr>
        <w:spacing w:line="480" w:lineRule="auto"/>
        <w:ind w:firstLine="480" w:firstLineChars="200"/>
        <w:rPr>
          <w:sz w:val="24"/>
          <w:szCs w:val="24"/>
        </w:rPr>
      </w:pPr>
      <w:r>
        <w:rPr>
          <w:sz w:val="24"/>
          <w:szCs w:val="24"/>
        </w:rPr>
        <w:t>3、行业类别——按国标填写。</w:t>
      </w:r>
    </w:p>
    <w:p>
      <w:pPr>
        <w:spacing w:line="480" w:lineRule="auto"/>
        <w:ind w:firstLine="480" w:firstLineChars="200"/>
        <w:rPr>
          <w:sz w:val="24"/>
          <w:szCs w:val="24"/>
        </w:rPr>
      </w:pPr>
      <w:r>
        <w:rPr>
          <w:sz w:val="24"/>
          <w:szCs w:val="24"/>
        </w:rPr>
        <w:t>4、总投资——指项目投资总额。</w:t>
      </w:r>
    </w:p>
    <w:p>
      <w:pPr>
        <w:spacing w:line="480" w:lineRule="auto"/>
        <w:ind w:firstLine="480" w:firstLineChars="200"/>
        <w:rPr>
          <w:sz w:val="24"/>
          <w:szCs w:val="24"/>
        </w:rPr>
      </w:pPr>
      <w:r>
        <w:rPr>
          <w:sz w:val="24"/>
          <w:szCs w:val="24"/>
        </w:rPr>
        <w:t>5、主要环境保护目标——指项目区周围一定范围内集中居民住宅区、学校、医院、保护文物、风景名胜区、水源地和生态敏感点等，应尽可能给出保护目标、性质、规模和距厂界距离等。</w:t>
      </w:r>
    </w:p>
    <w:p>
      <w:pPr>
        <w:spacing w:line="480" w:lineRule="auto"/>
        <w:ind w:firstLine="480" w:firstLineChars="200"/>
        <w:rPr>
          <w:sz w:val="24"/>
          <w:szCs w:val="24"/>
        </w:rPr>
      </w:pPr>
      <w:r>
        <w:rPr>
          <w:sz w:val="24"/>
          <w:szCs w:val="24"/>
        </w:rPr>
        <w:t>6、结论与建议——给出本项目清洁生产、达标排放和总量控制的分析结论，确定污染防治措施的有效性，说明本项目对环境造成的影响，给出建设项目环境可行性的明确结论。同时提出减少环境影响的其它建议。</w:t>
      </w:r>
    </w:p>
    <w:p>
      <w:pPr>
        <w:spacing w:line="480" w:lineRule="auto"/>
        <w:ind w:firstLine="480" w:firstLineChars="200"/>
        <w:rPr>
          <w:sz w:val="24"/>
          <w:szCs w:val="24"/>
        </w:rPr>
      </w:pPr>
      <w:r>
        <w:rPr>
          <w:sz w:val="24"/>
          <w:szCs w:val="24"/>
        </w:rPr>
        <w:t>7、预审意见——由行业主管部门填写答复意见，无主管部门项目，可不填。</w:t>
      </w:r>
    </w:p>
    <w:p>
      <w:pPr>
        <w:spacing w:line="480" w:lineRule="auto"/>
        <w:ind w:firstLine="480" w:firstLineChars="200"/>
        <w:rPr>
          <w:sz w:val="24"/>
          <w:szCs w:val="24"/>
        </w:rPr>
      </w:pPr>
      <w:r>
        <w:rPr>
          <w:sz w:val="24"/>
          <w:szCs w:val="24"/>
        </w:rPr>
        <w:pict>
          <v:rect id="_x0000_s1027" o:spid="_x0000_s1027" o:spt="1" style="position:absolute;left:0pt;margin-left:221.6pt;margin-top:221.6pt;height:14.25pt;width:28.5pt;z-index:251711488;mso-width-relative:page;mso-height-relative:page;" filled="t" stroked="t" coordsize="21600,21600">
            <v:path/>
            <v:fill type="gradient" on="t" angle="90" focussize="0f,0f">
              <o:fill type="gradientUnscaled" v:ext="backwardCompatible"/>
            </v:fill>
            <v:stroke weight="1.25pt" color="#FFFFFF"/>
            <v:imagedata o:title=""/>
            <o:lock v:ext="edit"/>
          </v:rect>
        </w:pict>
      </w:r>
      <w:r>
        <w:rPr>
          <w:sz w:val="24"/>
          <w:szCs w:val="24"/>
        </w:rPr>
        <w:t>8、审批意见——由负责审批该项目的环境保护行政主管部门批复。</w:t>
      </w:r>
    </w:p>
    <w:p>
      <w:pPr>
        <w:spacing w:line="360" w:lineRule="auto"/>
        <w:rPr>
          <w:sz w:val="24"/>
        </w:rPr>
        <w:sectPr>
          <w:headerReference r:id="rId3" w:type="default"/>
          <w:footerReference r:id="rId4" w:type="default"/>
          <w:pgSz w:w="11906" w:h="16838"/>
          <w:pgMar w:top="1440" w:right="1800" w:bottom="1440" w:left="1800" w:header="851" w:footer="992" w:gutter="0"/>
          <w:pgNumType w:start="1"/>
          <w:cols w:space="720" w:num="1"/>
          <w:docGrid w:type="linesAndChars" w:linePitch="312" w:charSpace="0"/>
        </w:sectPr>
      </w:pPr>
    </w:p>
    <w:p>
      <w:pPr>
        <w:pStyle w:val="3"/>
        <w:ind w:firstLine="137" w:firstLineChars="49"/>
        <w:rPr>
          <w:rFonts w:eastAsia="宋体"/>
        </w:rPr>
      </w:pPr>
      <w:r>
        <w:rPr>
          <w:rFonts w:hint="eastAsia" w:eastAsia="宋体"/>
        </w:rPr>
        <w:t>一、</w:t>
      </w:r>
      <w:r>
        <w:rPr>
          <w:rFonts w:eastAsia="宋体"/>
        </w:rPr>
        <w:t>建设项目基本情况</w:t>
      </w:r>
    </w:p>
    <w:tbl>
      <w:tblPr>
        <w:tblStyle w:val="3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1"/>
        <w:gridCol w:w="1144"/>
        <w:gridCol w:w="320"/>
        <w:gridCol w:w="916"/>
        <w:gridCol w:w="396"/>
        <w:gridCol w:w="389"/>
        <w:gridCol w:w="152"/>
        <w:gridCol w:w="238"/>
        <w:gridCol w:w="1028"/>
        <w:gridCol w:w="144"/>
        <w:gridCol w:w="347"/>
        <w:gridCol w:w="751"/>
        <w:gridCol w:w="233"/>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exact"/>
        </w:trPr>
        <w:tc>
          <w:tcPr>
            <w:tcW w:w="1621" w:type="dxa"/>
            <w:vAlign w:val="center"/>
          </w:tcPr>
          <w:p>
            <w:pPr>
              <w:jc w:val="center"/>
              <w:rPr>
                <w:sz w:val="24"/>
                <w:szCs w:val="24"/>
              </w:rPr>
            </w:pPr>
            <w:r>
              <w:rPr>
                <w:sz w:val="24"/>
                <w:szCs w:val="24"/>
              </w:rPr>
              <w:t>项目名称</w:t>
            </w:r>
          </w:p>
        </w:tc>
        <w:tc>
          <w:tcPr>
            <w:tcW w:w="6851" w:type="dxa"/>
            <w:gridSpan w:val="13"/>
            <w:vAlign w:val="center"/>
          </w:tcPr>
          <w:p>
            <w:pPr>
              <w:jc w:val="center"/>
              <w:rPr>
                <w:sz w:val="24"/>
                <w:szCs w:val="24"/>
              </w:rPr>
            </w:pPr>
            <w:r>
              <w:rPr>
                <w:rFonts w:hint="eastAsia"/>
                <w:sz w:val="24"/>
                <w:szCs w:val="24"/>
              </w:rPr>
              <w:t>木质纤维粉加工、销售</w:t>
            </w:r>
            <w:r>
              <w:rPr>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621" w:type="dxa"/>
            <w:vAlign w:val="center"/>
          </w:tcPr>
          <w:p>
            <w:pPr>
              <w:jc w:val="center"/>
              <w:rPr>
                <w:sz w:val="24"/>
                <w:szCs w:val="24"/>
              </w:rPr>
            </w:pPr>
            <w:r>
              <w:rPr>
                <w:sz w:val="24"/>
                <w:szCs w:val="24"/>
              </w:rPr>
              <w:t>建设单位</w:t>
            </w:r>
          </w:p>
        </w:tc>
        <w:tc>
          <w:tcPr>
            <w:tcW w:w="6851" w:type="dxa"/>
            <w:gridSpan w:val="13"/>
            <w:vAlign w:val="center"/>
          </w:tcPr>
          <w:p>
            <w:pPr>
              <w:jc w:val="center"/>
              <w:rPr>
                <w:sz w:val="24"/>
                <w:szCs w:val="24"/>
              </w:rPr>
            </w:pPr>
            <w:r>
              <w:rPr>
                <w:rFonts w:hint="eastAsia"/>
                <w:sz w:val="24"/>
                <w:szCs w:val="24"/>
              </w:rPr>
              <w:t>沭阳县光旺木制品有限公司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exact"/>
        </w:trPr>
        <w:tc>
          <w:tcPr>
            <w:tcW w:w="1621" w:type="dxa"/>
            <w:vAlign w:val="center"/>
          </w:tcPr>
          <w:p>
            <w:pPr>
              <w:jc w:val="center"/>
              <w:rPr>
                <w:sz w:val="24"/>
                <w:szCs w:val="24"/>
              </w:rPr>
            </w:pPr>
            <w:r>
              <w:rPr>
                <w:sz w:val="24"/>
                <w:szCs w:val="24"/>
              </w:rPr>
              <w:t>法人代表</w:t>
            </w:r>
          </w:p>
        </w:tc>
        <w:tc>
          <w:tcPr>
            <w:tcW w:w="3555" w:type="dxa"/>
            <w:gridSpan w:val="7"/>
            <w:vAlign w:val="center"/>
          </w:tcPr>
          <w:p>
            <w:pPr>
              <w:jc w:val="center"/>
              <w:rPr>
                <w:sz w:val="24"/>
                <w:szCs w:val="24"/>
              </w:rPr>
            </w:pPr>
            <w:r>
              <w:rPr>
                <w:rFonts w:hint="eastAsia"/>
                <w:sz w:val="24"/>
                <w:szCs w:val="24"/>
              </w:rPr>
              <w:t>周洋</w:t>
            </w:r>
          </w:p>
        </w:tc>
        <w:tc>
          <w:tcPr>
            <w:tcW w:w="1172" w:type="dxa"/>
            <w:gridSpan w:val="2"/>
            <w:vAlign w:val="center"/>
          </w:tcPr>
          <w:p>
            <w:pPr>
              <w:jc w:val="center"/>
              <w:rPr>
                <w:sz w:val="24"/>
                <w:szCs w:val="24"/>
              </w:rPr>
            </w:pPr>
            <w:r>
              <w:rPr>
                <w:sz w:val="24"/>
                <w:szCs w:val="24"/>
              </w:rPr>
              <w:t>联系人</w:t>
            </w:r>
          </w:p>
        </w:tc>
        <w:tc>
          <w:tcPr>
            <w:tcW w:w="2124" w:type="dxa"/>
            <w:gridSpan w:val="4"/>
            <w:vAlign w:val="center"/>
          </w:tcPr>
          <w:p>
            <w:pPr>
              <w:jc w:val="center"/>
              <w:rPr>
                <w:sz w:val="24"/>
                <w:szCs w:val="24"/>
              </w:rPr>
            </w:pPr>
            <w:r>
              <w:rPr>
                <w:rFonts w:hint="eastAsia"/>
                <w:sz w:val="24"/>
                <w:szCs w:val="24"/>
              </w:rPr>
              <w:t>嵇主任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exact"/>
        </w:trPr>
        <w:tc>
          <w:tcPr>
            <w:tcW w:w="1621" w:type="dxa"/>
            <w:vAlign w:val="center"/>
          </w:tcPr>
          <w:p>
            <w:pPr>
              <w:jc w:val="center"/>
              <w:rPr>
                <w:sz w:val="24"/>
                <w:szCs w:val="24"/>
              </w:rPr>
            </w:pPr>
            <w:r>
              <w:rPr>
                <w:sz w:val="24"/>
                <w:szCs w:val="24"/>
              </w:rPr>
              <w:t>通讯地址</w:t>
            </w:r>
          </w:p>
        </w:tc>
        <w:tc>
          <w:tcPr>
            <w:tcW w:w="6851" w:type="dxa"/>
            <w:gridSpan w:val="13"/>
            <w:vAlign w:val="center"/>
          </w:tcPr>
          <w:p>
            <w:pPr>
              <w:jc w:val="center"/>
              <w:rPr>
                <w:sz w:val="24"/>
                <w:szCs w:val="24"/>
              </w:rPr>
            </w:pPr>
            <w:r>
              <w:rPr>
                <w:rFonts w:hint="eastAsia" w:hAnsi="宋体"/>
                <w:sz w:val="24"/>
                <w:szCs w:val="24"/>
              </w:rPr>
              <w:t>沭阳县龙庙镇朱庄村三组38号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trPr>
        <w:tc>
          <w:tcPr>
            <w:tcW w:w="1621" w:type="dxa"/>
            <w:vAlign w:val="center"/>
          </w:tcPr>
          <w:p>
            <w:pPr>
              <w:jc w:val="center"/>
              <w:rPr>
                <w:sz w:val="24"/>
                <w:szCs w:val="24"/>
              </w:rPr>
            </w:pPr>
            <w:r>
              <w:rPr>
                <w:sz w:val="24"/>
                <w:szCs w:val="24"/>
              </w:rPr>
              <w:t>联系电话</w:t>
            </w:r>
          </w:p>
        </w:tc>
        <w:tc>
          <w:tcPr>
            <w:tcW w:w="2380" w:type="dxa"/>
            <w:gridSpan w:val="3"/>
            <w:vAlign w:val="center"/>
          </w:tcPr>
          <w:p>
            <w:pPr>
              <w:jc w:val="center"/>
              <w:rPr>
                <w:sz w:val="24"/>
                <w:szCs w:val="24"/>
              </w:rPr>
            </w:pPr>
            <w:bookmarkStart w:id="8" w:name="_GoBack"/>
            <w:r>
              <w:rPr>
                <w:rFonts w:hint="eastAsia"/>
                <w:sz w:val="24"/>
                <w:szCs w:val="24"/>
              </w:rPr>
              <w:t>13951191007</w:t>
            </w:r>
            <w:bookmarkEnd w:id="8"/>
          </w:p>
        </w:tc>
        <w:tc>
          <w:tcPr>
            <w:tcW w:w="937" w:type="dxa"/>
            <w:gridSpan w:val="3"/>
            <w:vAlign w:val="center"/>
          </w:tcPr>
          <w:p>
            <w:pPr>
              <w:jc w:val="center"/>
              <w:rPr>
                <w:sz w:val="24"/>
                <w:szCs w:val="24"/>
              </w:rPr>
            </w:pPr>
            <w:r>
              <w:rPr>
                <w:sz w:val="24"/>
                <w:szCs w:val="24"/>
              </w:rPr>
              <w:t>传真</w:t>
            </w:r>
          </w:p>
        </w:tc>
        <w:tc>
          <w:tcPr>
            <w:tcW w:w="1410" w:type="dxa"/>
            <w:gridSpan w:val="3"/>
            <w:vAlign w:val="center"/>
          </w:tcPr>
          <w:p>
            <w:pPr>
              <w:jc w:val="center"/>
              <w:rPr>
                <w:sz w:val="24"/>
                <w:szCs w:val="24"/>
              </w:rPr>
            </w:pPr>
            <w:r>
              <w:rPr>
                <w:sz w:val="24"/>
                <w:szCs w:val="24"/>
              </w:rPr>
              <w:t>-</w:t>
            </w:r>
          </w:p>
        </w:tc>
        <w:tc>
          <w:tcPr>
            <w:tcW w:w="1098" w:type="dxa"/>
            <w:gridSpan w:val="2"/>
            <w:vAlign w:val="center"/>
          </w:tcPr>
          <w:p>
            <w:pPr>
              <w:jc w:val="center"/>
              <w:rPr>
                <w:sz w:val="24"/>
                <w:szCs w:val="24"/>
              </w:rPr>
            </w:pPr>
            <w:r>
              <w:rPr>
                <w:rFonts w:hAnsi="宋体"/>
                <w:sz w:val="24"/>
                <w:szCs w:val="24"/>
              </w:rPr>
              <w:t>邮政编码</w:t>
            </w:r>
          </w:p>
        </w:tc>
        <w:tc>
          <w:tcPr>
            <w:tcW w:w="1026" w:type="dxa"/>
            <w:gridSpan w:val="2"/>
            <w:vAlign w:val="center"/>
          </w:tcPr>
          <w:p>
            <w:pPr>
              <w:jc w:val="center"/>
              <w:rPr>
                <w:sz w:val="24"/>
                <w:szCs w:val="24"/>
              </w:rPr>
            </w:pPr>
            <w:r>
              <w:rPr>
                <w:sz w:val="24"/>
                <w:szCs w:val="24"/>
              </w:rPr>
              <w:t>223600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exact"/>
        </w:trPr>
        <w:tc>
          <w:tcPr>
            <w:tcW w:w="1621" w:type="dxa"/>
            <w:vAlign w:val="center"/>
          </w:tcPr>
          <w:p>
            <w:pPr>
              <w:jc w:val="center"/>
              <w:rPr>
                <w:sz w:val="24"/>
                <w:szCs w:val="24"/>
              </w:rPr>
            </w:pPr>
            <w:r>
              <w:rPr>
                <w:sz w:val="24"/>
                <w:szCs w:val="24"/>
              </w:rPr>
              <w:t>建设地点</w:t>
            </w:r>
          </w:p>
        </w:tc>
        <w:tc>
          <w:tcPr>
            <w:tcW w:w="6851" w:type="dxa"/>
            <w:gridSpan w:val="13"/>
            <w:vAlign w:val="center"/>
          </w:tcPr>
          <w:p>
            <w:pPr>
              <w:jc w:val="center"/>
              <w:rPr>
                <w:sz w:val="24"/>
                <w:szCs w:val="24"/>
              </w:rPr>
            </w:pPr>
            <w:r>
              <w:rPr>
                <w:rFonts w:hint="eastAsia" w:hAnsi="宋体"/>
                <w:sz w:val="24"/>
                <w:szCs w:val="24"/>
              </w:rPr>
              <w:t>沭阳县龙庙镇朱庄村三组38号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exact"/>
        </w:trPr>
        <w:tc>
          <w:tcPr>
            <w:tcW w:w="1621" w:type="dxa"/>
            <w:vAlign w:val="center"/>
          </w:tcPr>
          <w:p>
            <w:pPr>
              <w:jc w:val="center"/>
              <w:rPr>
                <w:sz w:val="24"/>
                <w:szCs w:val="24"/>
              </w:rPr>
            </w:pPr>
            <w:r>
              <w:rPr>
                <w:sz w:val="24"/>
                <w:szCs w:val="24"/>
              </w:rPr>
              <w:t>立项审批</w:t>
            </w:r>
          </w:p>
          <w:p>
            <w:pPr>
              <w:jc w:val="center"/>
              <w:rPr>
                <w:sz w:val="24"/>
                <w:szCs w:val="24"/>
              </w:rPr>
            </w:pPr>
            <w:r>
              <w:rPr>
                <w:sz w:val="24"/>
                <w:szCs w:val="24"/>
              </w:rPr>
              <w:t>部门</w:t>
            </w:r>
          </w:p>
        </w:tc>
        <w:tc>
          <w:tcPr>
            <w:tcW w:w="3165" w:type="dxa"/>
            <w:gridSpan w:val="5"/>
            <w:vAlign w:val="center"/>
          </w:tcPr>
          <w:p>
            <w:pPr>
              <w:jc w:val="center"/>
              <w:rPr>
                <w:sz w:val="24"/>
                <w:szCs w:val="24"/>
              </w:rPr>
            </w:pPr>
            <w:r>
              <w:rPr>
                <w:sz w:val="24"/>
                <w:szCs w:val="24"/>
              </w:rPr>
              <w:t>沭阳县发展和改革局</w:t>
            </w:r>
          </w:p>
        </w:tc>
        <w:tc>
          <w:tcPr>
            <w:tcW w:w="1418" w:type="dxa"/>
            <w:gridSpan w:val="3"/>
            <w:vAlign w:val="center"/>
          </w:tcPr>
          <w:p>
            <w:pPr>
              <w:jc w:val="center"/>
              <w:rPr>
                <w:sz w:val="24"/>
                <w:szCs w:val="24"/>
              </w:rPr>
            </w:pPr>
            <w:r>
              <w:rPr>
                <w:sz w:val="24"/>
                <w:szCs w:val="24"/>
              </w:rPr>
              <w:t>批准文号</w:t>
            </w:r>
          </w:p>
        </w:tc>
        <w:tc>
          <w:tcPr>
            <w:tcW w:w="2268" w:type="dxa"/>
            <w:gridSpan w:val="5"/>
            <w:vAlign w:val="center"/>
          </w:tcPr>
          <w:p>
            <w:pPr>
              <w:jc w:val="center"/>
              <w:rPr>
                <w:sz w:val="24"/>
                <w:szCs w:val="24"/>
              </w:rPr>
            </w:pPr>
            <w:r>
              <w:rPr>
                <w:sz w:val="24"/>
                <w:szCs w:val="24"/>
              </w:rPr>
              <w:t>沭发改备案</w:t>
            </w:r>
          </w:p>
          <w:p>
            <w:pPr>
              <w:jc w:val="center"/>
              <w:rPr>
                <w:sz w:val="24"/>
                <w:szCs w:val="24"/>
              </w:rPr>
            </w:pPr>
            <w:r>
              <w:rPr>
                <w:sz w:val="24"/>
                <w:szCs w:val="24"/>
              </w:rPr>
              <w:t>[20</w:t>
            </w:r>
            <w:r>
              <w:rPr>
                <w:rFonts w:hint="eastAsia"/>
                <w:sz w:val="24"/>
                <w:szCs w:val="24"/>
              </w:rPr>
              <w:t>18</w:t>
            </w:r>
            <w:r>
              <w:rPr>
                <w:sz w:val="24"/>
                <w:szCs w:val="24"/>
              </w:rPr>
              <w:t>]</w:t>
            </w:r>
            <w:r>
              <w:rPr>
                <w:rFonts w:hint="eastAsia"/>
                <w:sz w:val="24"/>
                <w:szCs w:val="24"/>
              </w:rPr>
              <w:t>281</w:t>
            </w:r>
            <w:r>
              <w:rPr>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621" w:type="dxa"/>
            <w:vAlign w:val="center"/>
          </w:tcPr>
          <w:p>
            <w:pPr>
              <w:jc w:val="center"/>
              <w:rPr>
                <w:sz w:val="24"/>
                <w:szCs w:val="24"/>
              </w:rPr>
            </w:pPr>
            <w:r>
              <w:rPr>
                <w:sz w:val="24"/>
                <w:szCs w:val="24"/>
              </w:rPr>
              <w:t>建设性质</w:t>
            </w:r>
          </w:p>
        </w:tc>
        <w:tc>
          <w:tcPr>
            <w:tcW w:w="3165" w:type="dxa"/>
            <w:gridSpan w:val="5"/>
            <w:vAlign w:val="center"/>
          </w:tcPr>
          <w:p>
            <w:pPr>
              <w:jc w:val="center"/>
              <w:rPr>
                <w:sz w:val="24"/>
                <w:szCs w:val="24"/>
              </w:rPr>
            </w:pPr>
            <w:r>
              <w:rPr>
                <w:rFonts w:hint="eastAsia"/>
                <w:sz w:val="24"/>
                <w:szCs w:val="24"/>
              </w:rPr>
              <w:t>新</w:t>
            </w:r>
            <w:r>
              <w:rPr>
                <w:sz w:val="24"/>
                <w:szCs w:val="24"/>
              </w:rPr>
              <w:t>建</w:t>
            </w:r>
            <w:r>
              <w:rPr>
                <w:rFonts w:hint="eastAsia"/>
                <w:sz w:val="24"/>
                <w:szCs w:val="24"/>
              </w:rPr>
              <w:t>（未批先建）</w:t>
            </w:r>
          </w:p>
        </w:tc>
        <w:tc>
          <w:tcPr>
            <w:tcW w:w="1418" w:type="dxa"/>
            <w:gridSpan w:val="3"/>
            <w:vAlign w:val="center"/>
          </w:tcPr>
          <w:p>
            <w:pPr>
              <w:jc w:val="center"/>
              <w:rPr>
                <w:sz w:val="24"/>
                <w:szCs w:val="24"/>
              </w:rPr>
            </w:pPr>
            <w:r>
              <w:rPr>
                <w:sz w:val="24"/>
                <w:szCs w:val="24"/>
              </w:rPr>
              <w:t>行业类别</w:t>
            </w:r>
          </w:p>
          <w:p>
            <w:pPr>
              <w:jc w:val="center"/>
              <w:rPr>
                <w:sz w:val="24"/>
                <w:szCs w:val="24"/>
              </w:rPr>
            </w:pPr>
            <w:r>
              <w:rPr>
                <w:sz w:val="24"/>
                <w:szCs w:val="24"/>
              </w:rPr>
              <w:t>及代码</w:t>
            </w:r>
          </w:p>
        </w:tc>
        <w:tc>
          <w:tcPr>
            <w:tcW w:w="2268" w:type="dxa"/>
            <w:gridSpan w:val="5"/>
            <w:tcBorders>
              <w:bottom w:val="single" w:color="auto" w:sz="4" w:space="0"/>
            </w:tcBorders>
            <w:vAlign w:val="center"/>
          </w:tcPr>
          <w:p>
            <w:pPr>
              <w:jc w:val="center"/>
              <w:rPr>
                <w:kern w:val="0"/>
                <w:sz w:val="24"/>
                <w:szCs w:val="24"/>
              </w:rPr>
            </w:pPr>
            <w:r>
              <w:rPr>
                <w:rFonts w:hint="eastAsia"/>
                <w:kern w:val="0"/>
                <w:sz w:val="24"/>
                <w:szCs w:val="24"/>
              </w:rPr>
              <w:t>木质制品制造</w:t>
            </w:r>
            <w:r>
              <w:rPr>
                <w:kern w:val="0"/>
                <w:sz w:val="24"/>
                <w:szCs w:val="24"/>
              </w:rPr>
              <w:t>（C</w:t>
            </w:r>
            <w:r>
              <w:rPr>
                <w:rFonts w:hint="eastAsia"/>
                <w:kern w:val="0"/>
                <w:sz w:val="24"/>
                <w:szCs w:val="24"/>
              </w:rPr>
              <w:t>203</w:t>
            </w:r>
            <w:r>
              <w:rPr>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621" w:type="dxa"/>
            <w:vAlign w:val="center"/>
          </w:tcPr>
          <w:p>
            <w:pPr>
              <w:jc w:val="center"/>
              <w:rPr>
                <w:sz w:val="24"/>
                <w:szCs w:val="24"/>
              </w:rPr>
            </w:pPr>
            <w:r>
              <w:rPr>
                <w:sz w:val="24"/>
                <w:szCs w:val="24"/>
              </w:rPr>
              <w:t>占地面积</w:t>
            </w:r>
          </w:p>
          <w:p>
            <w:pPr>
              <w:jc w:val="center"/>
              <w:rPr>
                <w:sz w:val="24"/>
                <w:szCs w:val="24"/>
              </w:rPr>
            </w:pPr>
            <w:r>
              <w:rPr>
                <w:sz w:val="24"/>
                <w:szCs w:val="24"/>
              </w:rPr>
              <w:t>（</w:t>
            </w:r>
            <w:r>
              <w:rPr>
                <w:rFonts w:hint="eastAsia"/>
                <w:sz w:val="24"/>
                <w:szCs w:val="24"/>
              </w:rPr>
              <w:t>平方米</w:t>
            </w:r>
            <w:r>
              <w:rPr>
                <w:sz w:val="24"/>
                <w:szCs w:val="24"/>
              </w:rPr>
              <w:t>）</w:t>
            </w:r>
          </w:p>
        </w:tc>
        <w:tc>
          <w:tcPr>
            <w:tcW w:w="3165" w:type="dxa"/>
            <w:gridSpan w:val="5"/>
            <w:vAlign w:val="center"/>
          </w:tcPr>
          <w:p>
            <w:pPr>
              <w:jc w:val="center"/>
              <w:rPr>
                <w:sz w:val="24"/>
                <w:szCs w:val="24"/>
              </w:rPr>
            </w:pPr>
            <w:r>
              <w:rPr>
                <w:rFonts w:hint="eastAsia"/>
                <w:sz w:val="24"/>
                <w:szCs w:val="24"/>
              </w:rPr>
              <w:t>2699.83</w:t>
            </w:r>
          </w:p>
        </w:tc>
        <w:tc>
          <w:tcPr>
            <w:tcW w:w="1418" w:type="dxa"/>
            <w:gridSpan w:val="3"/>
            <w:vAlign w:val="center"/>
          </w:tcPr>
          <w:p>
            <w:pPr>
              <w:jc w:val="center"/>
              <w:rPr>
                <w:sz w:val="24"/>
                <w:szCs w:val="24"/>
              </w:rPr>
            </w:pPr>
            <w:r>
              <w:rPr>
                <w:sz w:val="24"/>
                <w:szCs w:val="24"/>
              </w:rPr>
              <w:t>绿化面积</w:t>
            </w:r>
          </w:p>
          <w:p>
            <w:pPr>
              <w:jc w:val="center"/>
              <w:rPr>
                <w:sz w:val="24"/>
                <w:szCs w:val="24"/>
              </w:rPr>
            </w:pPr>
            <w:r>
              <w:rPr>
                <w:sz w:val="24"/>
                <w:szCs w:val="24"/>
              </w:rPr>
              <w:t>（平方米）</w:t>
            </w:r>
          </w:p>
        </w:tc>
        <w:tc>
          <w:tcPr>
            <w:tcW w:w="2268" w:type="dxa"/>
            <w:gridSpan w:val="5"/>
            <w:tcBorders>
              <w:bottom w:val="single" w:color="auto" w:sz="4" w:space="0"/>
            </w:tcBorders>
            <w:vAlign w:val="center"/>
          </w:tcPr>
          <w:p>
            <w:pPr>
              <w:jc w:val="center"/>
              <w:rPr>
                <w:sz w:val="24"/>
                <w:szCs w:val="24"/>
              </w:rPr>
            </w:pPr>
            <w:r>
              <w:rPr>
                <w:rFonts w:hint="eastAsia"/>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621" w:type="dxa"/>
            <w:vAlign w:val="center"/>
          </w:tcPr>
          <w:p>
            <w:pPr>
              <w:jc w:val="center"/>
              <w:rPr>
                <w:sz w:val="24"/>
                <w:szCs w:val="24"/>
              </w:rPr>
            </w:pPr>
            <w:r>
              <w:rPr>
                <w:sz w:val="24"/>
                <w:szCs w:val="24"/>
              </w:rPr>
              <w:t>总投资</w:t>
            </w:r>
          </w:p>
          <w:p>
            <w:pPr>
              <w:jc w:val="center"/>
              <w:rPr>
                <w:sz w:val="24"/>
                <w:szCs w:val="24"/>
              </w:rPr>
            </w:pPr>
            <w:r>
              <w:rPr>
                <w:sz w:val="24"/>
                <w:szCs w:val="24"/>
              </w:rPr>
              <w:t>（万元）</w:t>
            </w:r>
          </w:p>
        </w:tc>
        <w:tc>
          <w:tcPr>
            <w:tcW w:w="1464" w:type="dxa"/>
            <w:gridSpan w:val="2"/>
            <w:vAlign w:val="center"/>
          </w:tcPr>
          <w:p>
            <w:pPr>
              <w:jc w:val="center"/>
              <w:rPr>
                <w:sz w:val="24"/>
                <w:szCs w:val="24"/>
              </w:rPr>
            </w:pPr>
            <w:r>
              <w:rPr>
                <w:rFonts w:hint="eastAsia"/>
                <w:sz w:val="24"/>
                <w:szCs w:val="24"/>
              </w:rPr>
              <w:t>200</w:t>
            </w:r>
          </w:p>
        </w:tc>
        <w:tc>
          <w:tcPr>
            <w:tcW w:w="1701" w:type="dxa"/>
            <w:gridSpan w:val="3"/>
            <w:vAlign w:val="center"/>
          </w:tcPr>
          <w:p>
            <w:pPr>
              <w:jc w:val="center"/>
              <w:rPr>
                <w:sz w:val="24"/>
                <w:szCs w:val="24"/>
              </w:rPr>
            </w:pPr>
            <w:r>
              <w:rPr>
                <w:sz w:val="24"/>
                <w:szCs w:val="24"/>
              </w:rPr>
              <w:t>其中：环保</w:t>
            </w:r>
          </w:p>
          <w:p>
            <w:pPr>
              <w:jc w:val="center"/>
              <w:rPr>
                <w:sz w:val="24"/>
                <w:szCs w:val="24"/>
              </w:rPr>
            </w:pPr>
            <w:r>
              <w:rPr>
                <w:sz w:val="24"/>
                <w:szCs w:val="24"/>
              </w:rPr>
              <w:t>投资（万元）</w:t>
            </w:r>
          </w:p>
        </w:tc>
        <w:tc>
          <w:tcPr>
            <w:tcW w:w="1418" w:type="dxa"/>
            <w:gridSpan w:val="3"/>
            <w:vAlign w:val="center"/>
          </w:tcPr>
          <w:p>
            <w:pPr>
              <w:jc w:val="center"/>
              <w:rPr>
                <w:rFonts w:hint="default" w:eastAsia="宋体"/>
                <w:sz w:val="24"/>
                <w:szCs w:val="24"/>
                <w:lang w:val="en-US" w:eastAsia="zh-CN"/>
              </w:rPr>
            </w:pPr>
            <w:r>
              <w:rPr>
                <w:rFonts w:hint="eastAsia"/>
                <w:sz w:val="24"/>
                <w:szCs w:val="24"/>
                <w:lang w:val="en-US" w:eastAsia="zh-CN"/>
              </w:rPr>
              <w:t>19</w:t>
            </w:r>
          </w:p>
        </w:tc>
        <w:tc>
          <w:tcPr>
            <w:tcW w:w="1475" w:type="dxa"/>
            <w:gridSpan w:val="4"/>
            <w:vAlign w:val="center"/>
          </w:tcPr>
          <w:p>
            <w:pPr>
              <w:jc w:val="center"/>
              <w:rPr>
                <w:sz w:val="24"/>
                <w:szCs w:val="24"/>
              </w:rPr>
            </w:pPr>
            <w:r>
              <w:rPr>
                <w:sz w:val="24"/>
                <w:szCs w:val="24"/>
              </w:rPr>
              <w:t>环保投资占总投资比例</w:t>
            </w:r>
          </w:p>
        </w:tc>
        <w:tc>
          <w:tcPr>
            <w:tcW w:w="793" w:type="dxa"/>
            <w:tcBorders>
              <w:bottom w:val="single" w:color="auto" w:sz="4" w:space="0"/>
            </w:tcBorders>
            <w:vAlign w:val="center"/>
          </w:tcPr>
          <w:p>
            <w:pPr>
              <w:jc w:val="center"/>
              <w:rPr>
                <w:sz w:val="24"/>
                <w:szCs w:val="24"/>
              </w:rPr>
            </w:pPr>
            <w:r>
              <w:rPr>
                <w:rFonts w:hint="eastAsia"/>
                <w:sz w:val="24"/>
                <w:szCs w:val="24"/>
                <w:lang w:val="en-US" w:eastAsia="zh-CN"/>
              </w:rPr>
              <w:t>9.5</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621" w:type="dxa"/>
            <w:tcBorders>
              <w:bottom w:val="single" w:color="auto" w:sz="4" w:space="0"/>
            </w:tcBorders>
            <w:vAlign w:val="center"/>
          </w:tcPr>
          <w:p>
            <w:pPr>
              <w:jc w:val="center"/>
              <w:rPr>
                <w:sz w:val="24"/>
                <w:szCs w:val="24"/>
              </w:rPr>
            </w:pPr>
            <w:r>
              <w:rPr>
                <w:sz w:val="24"/>
                <w:szCs w:val="24"/>
              </w:rPr>
              <w:t>评价经费</w:t>
            </w:r>
          </w:p>
          <w:p>
            <w:pPr>
              <w:jc w:val="center"/>
              <w:rPr>
                <w:sz w:val="24"/>
                <w:szCs w:val="24"/>
              </w:rPr>
            </w:pPr>
            <w:r>
              <w:rPr>
                <w:sz w:val="24"/>
                <w:szCs w:val="24"/>
              </w:rPr>
              <w:t>（万元）</w:t>
            </w:r>
          </w:p>
        </w:tc>
        <w:tc>
          <w:tcPr>
            <w:tcW w:w="1464" w:type="dxa"/>
            <w:gridSpan w:val="2"/>
            <w:tcBorders>
              <w:bottom w:val="single" w:color="auto" w:sz="4" w:space="0"/>
            </w:tcBorders>
            <w:vAlign w:val="center"/>
          </w:tcPr>
          <w:p>
            <w:pPr>
              <w:jc w:val="center"/>
              <w:rPr>
                <w:sz w:val="24"/>
                <w:szCs w:val="24"/>
              </w:rPr>
            </w:pPr>
            <w:r>
              <w:rPr>
                <w:rFonts w:hint="eastAsia"/>
                <w:sz w:val="24"/>
                <w:szCs w:val="24"/>
              </w:rPr>
              <w:t>-</w:t>
            </w:r>
          </w:p>
        </w:tc>
        <w:tc>
          <w:tcPr>
            <w:tcW w:w="1701" w:type="dxa"/>
            <w:gridSpan w:val="3"/>
            <w:tcBorders>
              <w:bottom w:val="single" w:color="auto" w:sz="4" w:space="0"/>
            </w:tcBorders>
            <w:vAlign w:val="center"/>
          </w:tcPr>
          <w:p>
            <w:pPr>
              <w:jc w:val="center"/>
              <w:rPr>
                <w:sz w:val="24"/>
                <w:szCs w:val="24"/>
              </w:rPr>
            </w:pPr>
            <w:r>
              <w:rPr>
                <w:sz w:val="24"/>
                <w:szCs w:val="24"/>
              </w:rPr>
              <w:t>预期投产</w:t>
            </w:r>
          </w:p>
          <w:p>
            <w:pPr>
              <w:jc w:val="center"/>
              <w:rPr>
                <w:sz w:val="24"/>
                <w:szCs w:val="24"/>
              </w:rPr>
            </w:pPr>
            <w:r>
              <w:rPr>
                <w:sz w:val="24"/>
                <w:szCs w:val="24"/>
              </w:rPr>
              <w:t>日期</w:t>
            </w:r>
          </w:p>
        </w:tc>
        <w:tc>
          <w:tcPr>
            <w:tcW w:w="3686" w:type="dxa"/>
            <w:gridSpan w:val="8"/>
            <w:tcBorders>
              <w:bottom w:val="single" w:color="auto" w:sz="4" w:space="0"/>
            </w:tcBorders>
            <w:vAlign w:val="center"/>
          </w:tcPr>
          <w:p>
            <w:pPr>
              <w:jc w:val="center"/>
              <w:rPr>
                <w:sz w:val="24"/>
                <w:szCs w:val="24"/>
              </w:rPr>
            </w:pPr>
            <w:r>
              <w:rPr>
                <w:rFonts w:hint="eastAsia"/>
                <w:sz w:val="24"/>
                <w:szCs w:val="24"/>
              </w:rPr>
              <w:t>2019年</w:t>
            </w:r>
            <w:r>
              <w:rPr>
                <w:rFonts w:hint="eastAsia"/>
                <w:sz w:val="24"/>
                <w:szCs w:val="24"/>
                <w:lang w:val="en-US" w:eastAsia="zh-CN"/>
              </w:rPr>
              <w:t>12</w:t>
            </w:r>
            <w:r>
              <w:rPr>
                <w:rFonts w:hint="eastAsia"/>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8472" w:type="dxa"/>
            <w:gridSpan w:val="14"/>
            <w:tcBorders>
              <w:top w:val="single" w:color="auto" w:sz="4" w:space="0"/>
              <w:left w:val="single" w:color="000000" w:sz="4" w:space="0"/>
              <w:bottom w:val="single" w:color="auto" w:sz="4" w:space="0"/>
              <w:right w:val="single" w:color="000000" w:sz="4" w:space="0"/>
            </w:tcBorders>
          </w:tcPr>
          <w:p>
            <w:pPr>
              <w:rPr>
                <w:b/>
                <w:bCs/>
                <w:sz w:val="24"/>
                <w:szCs w:val="24"/>
              </w:rPr>
            </w:pPr>
            <w:r>
              <w:rPr>
                <w:b/>
                <w:bCs/>
                <w:sz w:val="24"/>
                <w:szCs w:val="24"/>
              </w:rPr>
              <w:t>原辅材料（包括名称、用量）及主要设施规格、数量（包括锅炉、发电机等）：</w:t>
            </w:r>
          </w:p>
          <w:p>
            <w:pPr>
              <w:ind w:firstLine="480" w:firstLineChars="200"/>
              <w:rPr>
                <w:sz w:val="24"/>
                <w:szCs w:val="24"/>
              </w:rPr>
            </w:pPr>
            <w:r>
              <w:rPr>
                <w:sz w:val="24"/>
                <w:szCs w:val="24"/>
              </w:rPr>
              <w:t>详情见第2页</w:t>
            </w:r>
            <w:r>
              <w:rPr>
                <w:rFonts w:ascii="宋体" w:hAnsi="宋体" w:cs="Arial Unicode MS"/>
                <w:sz w:val="24"/>
                <w:szCs w:val="24"/>
              </w:rPr>
              <w:t>“</w:t>
            </w:r>
            <w:r>
              <w:rPr>
                <w:sz w:val="24"/>
                <w:szCs w:val="24"/>
              </w:rPr>
              <w:t>原辅材料及主要设备</w:t>
            </w:r>
            <w:r>
              <w:rPr>
                <w:rFonts w:ascii="宋体" w:hAnsi="宋体"/>
                <w:sz w:val="24"/>
                <w:szCs w:val="24"/>
              </w:rPr>
              <w:t>”</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exact"/>
        </w:trPr>
        <w:tc>
          <w:tcPr>
            <w:tcW w:w="8472" w:type="dxa"/>
            <w:gridSpan w:val="14"/>
            <w:tcBorders>
              <w:top w:val="single" w:color="auto" w:sz="4" w:space="0"/>
            </w:tcBorders>
            <w:vAlign w:val="center"/>
          </w:tcPr>
          <w:p>
            <w:pPr>
              <w:rPr>
                <w:b/>
                <w:bCs/>
                <w:sz w:val="24"/>
                <w:szCs w:val="24"/>
              </w:rPr>
            </w:pPr>
            <w:r>
              <w:rPr>
                <w:b/>
                <w:bCs/>
                <w:sz w:val="24"/>
                <w:szCs w:val="24"/>
              </w:rPr>
              <w:t>水及能源消耗量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exact"/>
        </w:trPr>
        <w:tc>
          <w:tcPr>
            <w:tcW w:w="2765" w:type="dxa"/>
            <w:gridSpan w:val="2"/>
            <w:vAlign w:val="center"/>
          </w:tcPr>
          <w:p>
            <w:pPr>
              <w:jc w:val="center"/>
              <w:rPr>
                <w:sz w:val="24"/>
                <w:szCs w:val="24"/>
              </w:rPr>
            </w:pPr>
            <w:r>
              <w:rPr>
                <w:sz w:val="24"/>
                <w:szCs w:val="24"/>
              </w:rPr>
              <w:t>名称</w:t>
            </w:r>
          </w:p>
        </w:tc>
        <w:tc>
          <w:tcPr>
            <w:tcW w:w="1632" w:type="dxa"/>
            <w:gridSpan w:val="3"/>
            <w:vAlign w:val="center"/>
          </w:tcPr>
          <w:p>
            <w:pPr>
              <w:jc w:val="center"/>
              <w:rPr>
                <w:sz w:val="24"/>
                <w:szCs w:val="24"/>
              </w:rPr>
            </w:pPr>
            <w:r>
              <w:rPr>
                <w:sz w:val="24"/>
                <w:szCs w:val="24"/>
              </w:rPr>
              <w:t>消耗量</w:t>
            </w:r>
          </w:p>
        </w:tc>
        <w:tc>
          <w:tcPr>
            <w:tcW w:w="2298" w:type="dxa"/>
            <w:gridSpan w:val="6"/>
            <w:vAlign w:val="center"/>
          </w:tcPr>
          <w:p>
            <w:pPr>
              <w:jc w:val="center"/>
              <w:rPr>
                <w:sz w:val="24"/>
                <w:szCs w:val="24"/>
              </w:rPr>
            </w:pPr>
            <w:r>
              <w:rPr>
                <w:sz w:val="24"/>
                <w:szCs w:val="24"/>
              </w:rPr>
              <w:t>名称</w:t>
            </w:r>
          </w:p>
        </w:tc>
        <w:tc>
          <w:tcPr>
            <w:tcW w:w="1777" w:type="dxa"/>
            <w:gridSpan w:val="3"/>
            <w:vAlign w:val="center"/>
          </w:tcPr>
          <w:p>
            <w:pPr>
              <w:jc w:val="center"/>
              <w:rPr>
                <w:sz w:val="24"/>
                <w:szCs w:val="24"/>
              </w:rPr>
            </w:pPr>
            <w:r>
              <w:rPr>
                <w:sz w:val="24"/>
                <w:szCs w:val="24"/>
              </w:rPr>
              <w:t>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exact"/>
        </w:trPr>
        <w:tc>
          <w:tcPr>
            <w:tcW w:w="2765" w:type="dxa"/>
            <w:gridSpan w:val="2"/>
            <w:vAlign w:val="center"/>
          </w:tcPr>
          <w:p>
            <w:pPr>
              <w:jc w:val="center"/>
              <w:rPr>
                <w:sz w:val="24"/>
                <w:szCs w:val="24"/>
              </w:rPr>
            </w:pPr>
            <w:r>
              <w:rPr>
                <w:sz w:val="24"/>
                <w:szCs w:val="24"/>
              </w:rPr>
              <w:t>水（吨/年）</w:t>
            </w:r>
          </w:p>
        </w:tc>
        <w:tc>
          <w:tcPr>
            <w:tcW w:w="1632" w:type="dxa"/>
            <w:gridSpan w:val="3"/>
            <w:vAlign w:val="center"/>
          </w:tcPr>
          <w:p>
            <w:pPr>
              <w:jc w:val="center"/>
              <w:rPr>
                <w:rFonts w:hint="default" w:eastAsia="宋体"/>
                <w:sz w:val="24"/>
                <w:szCs w:val="24"/>
                <w:lang w:val="en-US" w:eastAsia="zh-CN"/>
              </w:rPr>
            </w:pPr>
            <w:r>
              <w:rPr>
                <w:rFonts w:hint="eastAsia"/>
                <w:sz w:val="24"/>
                <w:szCs w:val="24"/>
                <w:lang w:val="en-US" w:eastAsia="zh-CN"/>
              </w:rPr>
              <w:t>110</w:t>
            </w:r>
          </w:p>
        </w:tc>
        <w:tc>
          <w:tcPr>
            <w:tcW w:w="2298" w:type="dxa"/>
            <w:gridSpan w:val="6"/>
            <w:vAlign w:val="center"/>
          </w:tcPr>
          <w:p>
            <w:pPr>
              <w:jc w:val="center"/>
              <w:rPr>
                <w:sz w:val="24"/>
                <w:szCs w:val="24"/>
              </w:rPr>
            </w:pPr>
            <w:r>
              <w:rPr>
                <w:sz w:val="24"/>
                <w:szCs w:val="24"/>
              </w:rPr>
              <w:t>燃油（吨/年）</w:t>
            </w:r>
          </w:p>
        </w:tc>
        <w:tc>
          <w:tcPr>
            <w:tcW w:w="1777" w:type="dxa"/>
            <w:gridSpan w:val="3"/>
            <w:vAlign w:val="center"/>
          </w:tcPr>
          <w:p>
            <w:pPr>
              <w:jc w:val="center"/>
              <w:rPr>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exact"/>
        </w:trPr>
        <w:tc>
          <w:tcPr>
            <w:tcW w:w="2765" w:type="dxa"/>
            <w:gridSpan w:val="2"/>
            <w:vAlign w:val="center"/>
          </w:tcPr>
          <w:p>
            <w:pPr>
              <w:jc w:val="center"/>
              <w:rPr>
                <w:sz w:val="24"/>
                <w:szCs w:val="24"/>
              </w:rPr>
            </w:pPr>
            <w:r>
              <w:rPr>
                <w:sz w:val="24"/>
                <w:szCs w:val="24"/>
              </w:rPr>
              <w:t>电（</w:t>
            </w:r>
            <w:r>
              <w:rPr>
                <w:rFonts w:hint="eastAsia"/>
                <w:sz w:val="24"/>
                <w:szCs w:val="24"/>
              </w:rPr>
              <w:t>千瓦时</w:t>
            </w:r>
            <w:r>
              <w:rPr>
                <w:sz w:val="24"/>
                <w:szCs w:val="24"/>
              </w:rPr>
              <w:t>/年）</w:t>
            </w:r>
          </w:p>
        </w:tc>
        <w:tc>
          <w:tcPr>
            <w:tcW w:w="1632" w:type="dxa"/>
            <w:gridSpan w:val="3"/>
            <w:vAlign w:val="center"/>
          </w:tcPr>
          <w:p>
            <w:pPr>
              <w:jc w:val="center"/>
              <w:rPr>
                <w:sz w:val="24"/>
                <w:szCs w:val="24"/>
              </w:rPr>
            </w:pPr>
            <w:r>
              <w:rPr>
                <w:rFonts w:hint="eastAsia"/>
                <w:sz w:val="24"/>
                <w:szCs w:val="24"/>
              </w:rPr>
              <w:t>50</w:t>
            </w:r>
            <w:r>
              <w:rPr>
                <w:sz w:val="24"/>
                <w:szCs w:val="24"/>
              </w:rPr>
              <w:t>万</w:t>
            </w:r>
          </w:p>
        </w:tc>
        <w:tc>
          <w:tcPr>
            <w:tcW w:w="2298" w:type="dxa"/>
            <w:gridSpan w:val="6"/>
            <w:vAlign w:val="center"/>
          </w:tcPr>
          <w:p>
            <w:pPr>
              <w:jc w:val="center"/>
              <w:rPr>
                <w:sz w:val="24"/>
                <w:szCs w:val="24"/>
              </w:rPr>
            </w:pPr>
            <w:r>
              <w:rPr>
                <w:sz w:val="24"/>
                <w:szCs w:val="24"/>
              </w:rPr>
              <w:t>燃气（立方米/年）</w:t>
            </w:r>
          </w:p>
        </w:tc>
        <w:tc>
          <w:tcPr>
            <w:tcW w:w="1777" w:type="dxa"/>
            <w:gridSpan w:val="3"/>
            <w:vAlign w:val="center"/>
          </w:tcPr>
          <w:p>
            <w:pPr>
              <w:jc w:val="center"/>
              <w:rPr>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exact"/>
        </w:trPr>
        <w:tc>
          <w:tcPr>
            <w:tcW w:w="2765" w:type="dxa"/>
            <w:gridSpan w:val="2"/>
            <w:vAlign w:val="center"/>
          </w:tcPr>
          <w:p>
            <w:pPr>
              <w:jc w:val="center"/>
              <w:rPr>
                <w:sz w:val="24"/>
                <w:szCs w:val="24"/>
              </w:rPr>
            </w:pPr>
            <w:r>
              <w:rPr>
                <w:sz w:val="24"/>
                <w:szCs w:val="24"/>
              </w:rPr>
              <w:t>蒸汽（吨/年）</w:t>
            </w:r>
          </w:p>
        </w:tc>
        <w:tc>
          <w:tcPr>
            <w:tcW w:w="1632" w:type="dxa"/>
            <w:gridSpan w:val="3"/>
            <w:vAlign w:val="center"/>
          </w:tcPr>
          <w:p>
            <w:pPr>
              <w:jc w:val="center"/>
              <w:rPr>
                <w:sz w:val="24"/>
                <w:szCs w:val="24"/>
              </w:rPr>
            </w:pPr>
            <w:r>
              <w:rPr>
                <w:rFonts w:hint="eastAsia"/>
                <w:sz w:val="24"/>
                <w:szCs w:val="24"/>
              </w:rPr>
              <w:t>-</w:t>
            </w:r>
          </w:p>
        </w:tc>
        <w:tc>
          <w:tcPr>
            <w:tcW w:w="2298" w:type="dxa"/>
            <w:gridSpan w:val="6"/>
            <w:vAlign w:val="center"/>
          </w:tcPr>
          <w:p>
            <w:pPr>
              <w:jc w:val="center"/>
              <w:rPr>
                <w:sz w:val="24"/>
                <w:szCs w:val="24"/>
              </w:rPr>
            </w:pPr>
            <w:r>
              <w:rPr>
                <w:sz w:val="24"/>
                <w:szCs w:val="24"/>
              </w:rPr>
              <w:t>其它</w:t>
            </w:r>
          </w:p>
        </w:tc>
        <w:tc>
          <w:tcPr>
            <w:tcW w:w="1777" w:type="dxa"/>
            <w:gridSpan w:val="3"/>
            <w:vAlign w:val="center"/>
          </w:tcPr>
          <w:p>
            <w:pPr>
              <w:jc w:val="center"/>
              <w:rPr>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8472" w:type="dxa"/>
            <w:gridSpan w:val="14"/>
            <w:tcBorders>
              <w:bottom w:val="single" w:color="auto" w:sz="4" w:space="0"/>
            </w:tcBorders>
          </w:tcPr>
          <w:p>
            <w:pPr>
              <w:spacing w:line="360" w:lineRule="auto"/>
              <w:rPr>
                <w:b/>
                <w:bCs/>
                <w:sz w:val="24"/>
                <w:szCs w:val="24"/>
              </w:rPr>
            </w:pPr>
            <w:r>
              <w:rPr>
                <w:b/>
                <w:bCs/>
                <w:sz w:val="24"/>
                <w:szCs w:val="24"/>
              </w:rPr>
              <w:t>废水（工业废水、生活污水）排水量及排放去向：</w:t>
            </w:r>
          </w:p>
          <w:p>
            <w:pPr>
              <w:spacing w:line="360" w:lineRule="auto"/>
              <w:ind w:firstLine="480" w:firstLineChars="200"/>
              <w:rPr>
                <w:sz w:val="24"/>
                <w:szCs w:val="24"/>
              </w:rPr>
            </w:pPr>
            <w:r>
              <w:rPr>
                <w:rFonts w:hint="eastAsia"/>
                <w:sz w:val="24"/>
                <w:szCs w:val="24"/>
              </w:rPr>
              <w:t>本项目厂区内不建设食堂和宿舍，生活污水经过</w:t>
            </w:r>
            <w:r>
              <w:rPr>
                <w:rFonts w:hint="eastAsia"/>
                <w:sz w:val="24"/>
              </w:rPr>
              <w:t>地埋式污水处理设施</w:t>
            </w:r>
            <w:r>
              <w:rPr>
                <w:rFonts w:hint="eastAsia"/>
                <w:sz w:val="24"/>
                <w:szCs w:val="24"/>
              </w:rPr>
              <w:t>处理后全部回用不外排</w:t>
            </w:r>
            <w:r>
              <w:rPr>
                <w:rFonts w:hint="eastAsia"/>
              </w:rPr>
              <w:t>。</w:t>
            </w:r>
            <w:r>
              <w:rPr>
                <w:rFonts w:hint="eastAsia"/>
                <w:sz w:val="24"/>
                <w:szCs w:val="24"/>
              </w:rPr>
              <w:t>在生产过程中喷淋产生的碱液废水全部回用于反应锅干漂工序中，无生产废水排放。</w:t>
            </w:r>
          </w:p>
          <w:p>
            <w:pPr>
              <w:spacing w:line="360" w:lineRule="auto"/>
              <w:rPr>
                <w:b/>
                <w:bCs/>
                <w:sz w:val="24"/>
              </w:rPr>
            </w:pPr>
            <w:r>
              <w:rPr>
                <w:b/>
                <w:bCs/>
                <w:sz w:val="24"/>
              </w:rPr>
              <w:t>放射性同位素和伴有电磁辐射的设施的使用情况：</w:t>
            </w:r>
          </w:p>
          <w:p>
            <w:pPr>
              <w:spacing w:line="360" w:lineRule="auto"/>
              <w:ind w:firstLine="484" w:firstLineChars="202"/>
              <w:rPr>
                <w:sz w:val="24"/>
                <w:szCs w:val="24"/>
              </w:rPr>
            </w:pPr>
            <w:r>
              <w:rPr>
                <w:sz w:val="24"/>
                <w:szCs w:val="24"/>
              </w:rPr>
              <w:t>建设项目生产过程中不使用放射性同位素和伴有电磁辐射的设施。</w:t>
            </w: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0" w:hRule="atLeast"/>
        </w:trPr>
        <w:tc>
          <w:tcPr>
            <w:tcW w:w="8472" w:type="dxa"/>
            <w:gridSpan w:val="14"/>
            <w:tcBorders>
              <w:top w:val="single" w:color="auto" w:sz="4" w:space="0"/>
              <w:bottom w:val="single" w:color="auto" w:sz="4" w:space="0"/>
            </w:tcBorders>
          </w:tcPr>
          <w:p>
            <w:pPr>
              <w:spacing w:line="360" w:lineRule="auto"/>
              <w:rPr>
                <w:b/>
                <w:bCs/>
                <w:sz w:val="24"/>
              </w:rPr>
            </w:pPr>
            <w:r>
              <w:rPr>
                <w:b/>
                <w:bCs/>
                <w:sz w:val="24"/>
              </w:rPr>
              <w:t>原辅材料及主要设备：</w:t>
            </w:r>
          </w:p>
          <w:p>
            <w:pPr>
              <w:numPr>
                <w:ilvl w:val="0"/>
                <w:numId w:val="1"/>
              </w:numPr>
              <w:spacing w:line="360" w:lineRule="auto"/>
              <w:ind w:left="0" w:firstLine="480" w:firstLineChars="200"/>
              <w:rPr>
                <w:sz w:val="24"/>
              </w:rPr>
            </w:pPr>
            <w:r>
              <w:rPr>
                <w:sz w:val="24"/>
              </w:rPr>
              <w:t>建设项目原辅材料</w:t>
            </w:r>
          </w:p>
          <w:p>
            <w:pPr>
              <w:adjustRightInd w:val="0"/>
              <w:snapToGrid w:val="0"/>
              <w:spacing w:line="360" w:lineRule="auto"/>
              <w:ind w:firstLine="480" w:firstLineChars="200"/>
              <w:rPr>
                <w:sz w:val="24"/>
                <w:szCs w:val="24"/>
              </w:rPr>
            </w:pPr>
            <w:r>
              <w:rPr>
                <w:rFonts w:hint="eastAsia"/>
                <w:sz w:val="24"/>
                <w:szCs w:val="24"/>
              </w:rPr>
              <w:t>建设项目主要原辅材料见表</w:t>
            </w:r>
            <w:r>
              <w:rPr>
                <w:sz w:val="24"/>
                <w:szCs w:val="24"/>
              </w:rPr>
              <w:t>1-1</w:t>
            </w:r>
            <w:r>
              <w:rPr>
                <w:rFonts w:hint="eastAsia"/>
                <w:sz w:val="24"/>
                <w:szCs w:val="24"/>
              </w:rPr>
              <w:t>，部分原辅材料的理化性质见表</w:t>
            </w:r>
            <w:r>
              <w:rPr>
                <w:sz w:val="24"/>
                <w:szCs w:val="24"/>
              </w:rPr>
              <w:t>1-2</w:t>
            </w:r>
            <w:r>
              <w:rPr>
                <w:rFonts w:hint="eastAsia"/>
                <w:sz w:val="24"/>
                <w:szCs w:val="24"/>
              </w:rPr>
              <w:t>。</w:t>
            </w:r>
          </w:p>
          <w:p>
            <w:pPr>
              <w:adjustRightInd w:val="0"/>
              <w:snapToGrid w:val="0"/>
              <w:jc w:val="center"/>
              <w:rPr>
                <w:b/>
                <w:bCs/>
                <w:sz w:val="24"/>
                <w:szCs w:val="24"/>
              </w:rPr>
            </w:pPr>
            <w:r>
              <w:rPr>
                <w:rFonts w:hint="eastAsia"/>
                <w:b/>
                <w:bCs/>
                <w:sz w:val="24"/>
                <w:szCs w:val="24"/>
              </w:rPr>
              <w:t>表</w:t>
            </w:r>
            <w:r>
              <w:rPr>
                <w:b/>
                <w:bCs/>
                <w:sz w:val="24"/>
                <w:szCs w:val="24"/>
              </w:rPr>
              <w:t xml:space="preserve">1-1  </w:t>
            </w:r>
            <w:r>
              <w:rPr>
                <w:rFonts w:hint="eastAsia"/>
                <w:b/>
                <w:bCs/>
                <w:sz w:val="24"/>
                <w:szCs w:val="24"/>
              </w:rPr>
              <w:t>项目主要原辅材料消耗情况表</w:t>
            </w:r>
          </w:p>
          <w:tbl>
            <w:tblPr>
              <w:tblStyle w:val="33"/>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86"/>
              <w:gridCol w:w="2334"/>
              <w:gridCol w:w="1182"/>
              <w:gridCol w:w="1515"/>
              <w:gridCol w:w="21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086" w:type="dxa"/>
                  <w:tcBorders>
                    <w:top w:val="single" w:color="auto" w:sz="12" w:space="0"/>
                    <w:left w:val="nil"/>
                    <w:bottom w:val="single" w:color="auto" w:sz="4" w:space="0"/>
                    <w:right w:val="single" w:color="auto" w:sz="4" w:space="0"/>
                  </w:tcBorders>
                  <w:tcMar>
                    <w:top w:w="0" w:type="dxa"/>
                    <w:left w:w="0" w:type="dxa"/>
                    <w:bottom w:w="0" w:type="dxa"/>
                    <w:right w:w="0" w:type="dxa"/>
                  </w:tcMar>
                  <w:vAlign w:val="center"/>
                </w:tcPr>
                <w:p>
                  <w:pPr>
                    <w:adjustRightInd w:val="0"/>
                    <w:snapToGrid w:val="0"/>
                    <w:jc w:val="center"/>
                    <w:rPr>
                      <w:b/>
                      <w:bCs/>
                      <w:szCs w:val="21"/>
                    </w:rPr>
                  </w:pPr>
                  <w:r>
                    <w:rPr>
                      <w:rFonts w:hint="eastAsia"/>
                      <w:b/>
                      <w:bCs/>
                      <w:szCs w:val="21"/>
                    </w:rPr>
                    <w:t>序号</w:t>
                  </w:r>
                </w:p>
              </w:tc>
              <w:tc>
                <w:tcPr>
                  <w:tcW w:w="233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bCs/>
                      <w:szCs w:val="21"/>
                    </w:rPr>
                  </w:pPr>
                  <w:r>
                    <w:rPr>
                      <w:rFonts w:hint="eastAsia"/>
                      <w:b/>
                      <w:bCs/>
                      <w:szCs w:val="21"/>
                    </w:rPr>
                    <w:t>名称</w:t>
                  </w:r>
                </w:p>
              </w:tc>
              <w:tc>
                <w:tcPr>
                  <w:tcW w:w="118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bCs/>
                      <w:szCs w:val="21"/>
                    </w:rPr>
                  </w:pPr>
                  <w:r>
                    <w:rPr>
                      <w:rFonts w:hint="eastAsia"/>
                      <w:b/>
                      <w:bCs/>
                      <w:szCs w:val="21"/>
                    </w:rPr>
                    <w:t>物质状态</w:t>
                  </w:r>
                </w:p>
              </w:tc>
              <w:tc>
                <w:tcPr>
                  <w:tcW w:w="1515"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bCs/>
                      <w:szCs w:val="21"/>
                    </w:rPr>
                  </w:pPr>
                  <w:r>
                    <w:rPr>
                      <w:rFonts w:hint="eastAsia"/>
                      <w:b/>
                      <w:bCs/>
                      <w:szCs w:val="21"/>
                    </w:rPr>
                    <w:t>来源</w:t>
                  </w:r>
                </w:p>
              </w:tc>
              <w:tc>
                <w:tcPr>
                  <w:tcW w:w="2139" w:type="dxa"/>
                  <w:tcBorders>
                    <w:top w:val="single" w:color="auto" w:sz="12" w:space="0"/>
                    <w:left w:val="single" w:color="auto" w:sz="4" w:space="0"/>
                    <w:bottom w:val="single" w:color="auto" w:sz="4" w:space="0"/>
                    <w:right w:val="nil"/>
                  </w:tcBorders>
                  <w:tcMar>
                    <w:top w:w="0" w:type="dxa"/>
                    <w:left w:w="0" w:type="dxa"/>
                    <w:bottom w:w="0" w:type="dxa"/>
                    <w:right w:w="0" w:type="dxa"/>
                  </w:tcMar>
                  <w:vAlign w:val="center"/>
                </w:tcPr>
                <w:p>
                  <w:pPr>
                    <w:adjustRightInd w:val="0"/>
                    <w:snapToGrid w:val="0"/>
                    <w:jc w:val="center"/>
                    <w:rPr>
                      <w:b/>
                      <w:bCs/>
                      <w:szCs w:val="21"/>
                    </w:rPr>
                  </w:pPr>
                  <w:r>
                    <w:rPr>
                      <w:rFonts w:hint="eastAsia"/>
                      <w:b/>
                      <w:bCs/>
                      <w:szCs w:val="21"/>
                    </w:rPr>
                    <w:t>消耗量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86" w:type="dxa"/>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szCs w:val="21"/>
                    </w:rPr>
                    <w:t>1</w:t>
                  </w:r>
                </w:p>
              </w:tc>
              <w:tc>
                <w:tcPr>
                  <w:tcW w:w="23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kern w:val="0"/>
                      <w:szCs w:val="21"/>
                    </w:rPr>
                    <w:t>木料</w:t>
                  </w:r>
                </w:p>
              </w:tc>
              <w:tc>
                <w:tcPr>
                  <w:tcW w:w="11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固态</w:t>
                  </w:r>
                </w:p>
              </w:tc>
              <w:tc>
                <w:tcPr>
                  <w:tcW w:w="15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外购</w:t>
                  </w:r>
                </w:p>
              </w:tc>
              <w:tc>
                <w:tcPr>
                  <w:tcW w:w="2139" w:type="dxa"/>
                  <w:tcBorders>
                    <w:top w:val="single" w:color="auto" w:sz="4" w:space="0"/>
                    <w:left w:val="single" w:color="auto" w:sz="4" w:space="0"/>
                    <w:bottom w:val="single" w:color="auto" w:sz="4" w:space="0"/>
                    <w:right w:val="nil"/>
                  </w:tcBorders>
                  <w:vAlign w:val="center"/>
                </w:tcPr>
                <w:p>
                  <w:pPr>
                    <w:adjustRightInd w:val="0"/>
                    <w:snapToGrid w:val="0"/>
                    <w:jc w:val="center"/>
                    <w:rPr>
                      <w:szCs w:val="21"/>
                    </w:rPr>
                  </w:pPr>
                  <w:r>
                    <w:rPr>
                      <w:rFonts w:hint="eastAsia"/>
                      <w:szCs w:val="21"/>
                    </w:rPr>
                    <w:t>3</w:t>
                  </w:r>
                  <w:r>
                    <w:rPr>
                      <w:szCs w:val="21"/>
                    </w:rPr>
                    <w:t>00</w:t>
                  </w:r>
                  <w:r>
                    <w:rPr>
                      <w:rFonts w:hint="eastAsia"/>
                      <w:szCs w:val="21"/>
                    </w:rPr>
                    <w:t>3</w:t>
                  </w:r>
                  <w:r>
                    <w:rPr>
                      <w:szCs w:val="21"/>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1086" w:type="dxa"/>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szCs w:val="21"/>
                    </w:rPr>
                    <w:t>2</w:t>
                  </w:r>
                </w:p>
              </w:tc>
              <w:tc>
                <w:tcPr>
                  <w:tcW w:w="23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双氧水</w:t>
                  </w:r>
                </w:p>
              </w:tc>
              <w:tc>
                <w:tcPr>
                  <w:tcW w:w="11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液态</w:t>
                  </w:r>
                </w:p>
              </w:tc>
              <w:tc>
                <w:tcPr>
                  <w:tcW w:w="15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外购</w:t>
                  </w:r>
                </w:p>
              </w:tc>
              <w:tc>
                <w:tcPr>
                  <w:tcW w:w="2139" w:type="dxa"/>
                  <w:tcBorders>
                    <w:top w:val="single" w:color="auto" w:sz="4" w:space="0"/>
                    <w:left w:val="single" w:color="auto" w:sz="4" w:space="0"/>
                    <w:bottom w:val="single" w:color="auto" w:sz="4" w:space="0"/>
                    <w:right w:val="nil"/>
                  </w:tcBorders>
                  <w:vAlign w:val="center"/>
                </w:tcPr>
                <w:p>
                  <w:pPr>
                    <w:adjustRightInd w:val="0"/>
                    <w:snapToGrid w:val="0"/>
                    <w:jc w:val="center"/>
                    <w:rPr>
                      <w:szCs w:val="21"/>
                    </w:rPr>
                  </w:pPr>
                  <w:r>
                    <w:rPr>
                      <w:rFonts w:hint="eastAsia"/>
                      <w:szCs w:val="21"/>
                    </w:rPr>
                    <w:t>3</w:t>
                  </w:r>
                  <w:r>
                    <w:rPr>
                      <w:szCs w:val="21"/>
                    </w:rPr>
                    <w:t>00t/a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1086" w:type="dxa"/>
                  <w:tcBorders>
                    <w:top w:val="single" w:color="auto" w:sz="4" w:space="0"/>
                    <w:left w:val="nil"/>
                    <w:bottom w:val="single" w:color="auto" w:sz="12" w:space="0"/>
                    <w:right w:val="single" w:color="auto" w:sz="4" w:space="0"/>
                  </w:tcBorders>
                  <w:vAlign w:val="center"/>
                </w:tcPr>
                <w:p>
                  <w:pPr>
                    <w:adjustRightInd w:val="0"/>
                    <w:snapToGrid w:val="0"/>
                    <w:jc w:val="center"/>
                    <w:rPr>
                      <w:szCs w:val="21"/>
                    </w:rPr>
                  </w:pPr>
                  <w:r>
                    <w:rPr>
                      <w:szCs w:val="21"/>
                    </w:rPr>
                    <w:t>3</w:t>
                  </w:r>
                </w:p>
              </w:tc>
              <w:tc>
                <w:tcPr>
                  <w:tcW w:w="233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rFonts w:hint="eastAsia"/>
                      <w:szCs w:val="21"/>
                      <w:lang w:val="en-US" w:eastAsia="zh-CN"/>
                    </w:rPr>
                    <w:t>99%NaOH</w:t>
                  </w:r>
                  <w:r>
                    <w:rPr>
                      <w:rFonts w:hint="eastAsia"/>
                      <w:szCs w:val="21"/>
                    </w:rPr>
                    <w:t>（</w:t>
                  </w:r>
                  <w:r>
                    <w:rPr>
                      <w:rFonts w:hint="eastAsia"/>
                      <w:szCs w:val="21"/>
                      <w:lang w:val="en-US" w:eastAsia="zh-CN"/>
                    </w:rPr>
                    <w:t>25kg/袋</w:t>
                  </w:r>
                  <w:r>
                    <w:rPr>
                      <w:rFonts w:hint="eastAsia"/>
                      <w:szCs w:val="21"/>
                    </w:rPr>
                    <w:t>）</w:t>
                  </w:r>
                </w:p>
              </w:tc>
              <w:tc>
                <w:tcPr>
                  <w:tcW w:w="1182"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rFonts w:hint="eastAsia"/>
                      <w:szCs w:val="21"/>
                      <w:lang w:eastAsia="zh-CN"/>
                    </w:rPr>
                    <w:t>固</w:t>
                  </w:r>
                  <w:r>
                    <w:rPr>
                      <w:rFonts w:hint="eastAsia"/>
                      <w:szCs w:val="21"/>
                    </w:rPr>
                    <w:t>态</w:t>
                  </w:r>
                </w:p>
              </w:tc>
              <w:tc>
                <w:tcPr>
                  <w:tcW w:w="1515"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rFonts w:hint="eastAsia"/>
                      <w:szCs w:val="21"/>
                    </w:rPr>
                    <w:t>外购</w:t>
                  </w:r>
                </w:p>
              </w:tc>
              <w:tc>
                <w:tcPr>
                  <w:tcW w:w="2139" w:type="dxa"/>
                  <w:tcBorders>
                    <w:top w:val="single" w:color="auto" w:sz="4" w:space="0"/>
                    <w:left w:val="single" w:color="auto" w:sz="4" w:space="0"/>
                    <w:bottom w:val="single" w:color="auto" w:sz="12" w:space="0"/>
                    <w:right w:val="nil"/>
                  </w:tcBorders>
                  <w:vAlign w:val="center"/>
                </w:tcPr>
                <w:p>
                  <w:pPr>
                    <w:adjustRightInd w:val="0"/>
                    <w:snapToGrid w:val="0"/>
                    <w:jc w:val="center"/>
                    <w:rPr>
                      <w:szCs w:val="21"/>
                    </w:rPr>
                  </w:pPr>
                  <w:r>
                    <w:rPr>
                      <w:rFonts w:hint="eastAsia"/>
                      <w:szCs w:val="21"/>
                    </w:rPr>
                    <w:t>2</w:t>
                  </w:r>
                  <w:r>
                    <w:rPr>
                      <w:szCs w:val="21"/>
                    </w:rPr>
                    <w:t xml:space="preserve">00t/a </w:t>
                  </w:r>
                </w:p>
              </w:tc>
            </w:tr>
          </w:tbl>
          <w:p>
            <w:pPr>
              <w:adjustRightInd w:val="0"/>
              <w:snapToGrid w:val="0"/>
              <w:spacing w:beforeLines="50"/>
              <w:jc w:val="center"/>
              <w:rPr>
                <w:b/>
                <w:sz w:val="24"/>
                <w:szCs w:val="22"/>
              </w:rPr>
            </w:pPr>
            <w:r>
              <w:rPr>
                <w:rFonts w:hint="eastAsia"/>
                <w:b/>
                <w:sz w:val="24"/>
              </w:rPr>
              <w:t>表</w:t>
            </w:r>
            <w:r>
              <w:rPr>
                <w:b/>
                <w:sz w:val="24"/>
              </w:rPr>
              <w:t xml:space="preserve">1-2  </w:t>
            </w:r>
            <w:r>
              <w:rPr>
                <w:rFonts w:hint="eastAsia"/>
                <w:b/>
                <w:sz w:val="24"/>
              </w:rPr>
              <w:t>建设项目主要原辅料理化特性、毒理毒性</w:t>
            </w:r>
          </w:p>
          <w:tbl>
            <w:tblPr>
              <w:tblStyle w:val="33"/>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704"/>
              <w:gridCol w:w="844"/>
              <w:gridCol w:w="3668"/>
              <w:gridCol w:w="1709"/>
              <w:gridCol w:w="13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47" w:hRule="atLeast"/>
                <w:tblHeader/>
                <w:jc w:val="center"/>
              </w:trPr>
              <w:tc>
                <w:tcPr>
                  <w:tcW w:w="760" w:type="dxa"/>
                  <w:tcBorders>
                    <w:top w:val="single" w:color="auto" w:sz="12" w:space="0"/>
                    <w:left w:val="nil"/>
                    <w:bottom w:val="single" w:color="auto" w:sz="4" w:space="0"/>
                    <w:right w:val="single" w:color="auto" w:sz="4" w:space="0"/>
                  </w:tcBorders>
                  <w:vAlign w:val="center"/>
                </w:tcPr>
                <w:p>
                  <w:pPr>
                    <w:adjustRightInd w:val="0"/>
                    <w:snapToGrid w:val="0"/>
                    <w:jc w:val="center"/>
                    <w:rPr>
                      <w:b/>
                      <w:szCs w:val="21"/>
                    </w:rPr>
                  </w:pPr>
                  <w:r>
                    <w:rPr>
                      <w:rFonts w:hint="eastAsia"/>
                      <w:b/>
                      <w:szCs w:val="21"/>
                    </w:rPr>
                    <w:t>序号</w:t>
                  </w:r>
                </w:p>
              </w:tc>
              <w:tc>
                <w:tcPr>
                  <w:tcW w:w="870"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int="eastAsia"/>
                      <w:b/>
                      <w:szCs w:val="21"/>
                    </w:rPr>
                    <w:t>名称</w:t>
                  </w:r>
                </w:p>
              </w:tc>
              <w:tc>
                <w:tcPr>
                  <w:tcW w:w="4115"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int="eastAsia"/>
                      <w:b/>
                      <w:szCs w:val="21"/>
                    </w:rPr>
                    <w:t>理化性质</w:t>
                  </w:r>
                </w:p>
              </w:tc>
              <w:tc>
                <w:tcPr>
                  <w:tcW w:w="1910"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int="eastAsia"/>
                      <w:b/>
                      <w:szCs w:val="21"/>
                    </w:rPr>
                    <w:t>燃烧爆炸性</w:t>
                  </w:r>
                </w:p>
              </w:tc>
              <w:tc>
                <w:tcPr>
                  <w:tcW w:w="1477" w:type="dxa"/>
                  <w:tcBorders>
                    <w:top w:val="single" w:color="auto" w:sz="12" w:space="0"/>
                    <w:left w:val="single" w:color="auto" w:sz="4" w:space="0"/>
                    <w:bottom w:val="single" w:color="auto" w:sz="4" w:space="0"/>
                    <w:right w:val="nil"/>
                  </w:tcBorders>
                  <w:vAlign w:val="center"/>
                </w:tcPr>
                <w:p>
                  <w:pPr>
                    <w:adjustRightInd w:val="0"/>
                    <w:snapToGrid w:val="0"/>
                    <w:jc w:val="center"/>
                    <w:rPr>
                      <w:b/>
                      <w:szCs w:val="21"/>
                    </w:rPr>
                  </w:pPr>
                  <w:r>
                    <w:rPr>
                      <w:rFonts w:hint="eastAsia"/>
                      <w:b/>
                      <w:szCs w:val="21"/>
                    </w:rPr>
                    <w:t>毒理性质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248" w:hRule="atLeast"/>
                <w:jc w:val="center"/>
              </w:trPr>
              <w:tc>
                <w:tcPr>
                  <w:tcW w:w="760" w:type="dxa"/>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szCs w:val="21"/>
                    </w:rPr>
                    <w:t>1</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双氧水</w:t>
                  </w:r>
                </w:p>
              </w:tc>
              <w:tc>
                <w:tcPr>
                  <w:tcW w:w="4115" w:type="dxa"/>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szCs w:val="21"/>
                    </w:rPr>
                    <w:t>无色透明液体，有微弱的特殊气味，溶于水、醇、醚，不溶于苯、石油醚，是强氧化剂。在</w:t>
                  </w:r>
                  <w:r>
                    <w:rPr>
                      <w:szCs w:val="21"/>
                    </w:rPr>
                    <w:t>pH</w:t>
                  </w:r>
                  <w:r>
                    <w:rPr>
                      <w:rFonts w:hint="eastAsia"/>
                      <w:szCs w:val="21"/>
                    </w:rPr>
                    <w:t>值为</w:t>
                  </w:r>
                  <w:r>
                    <w:rPr>
                      <w:szCs w:val="21"/>
                    </w:rPr>
                    <w:t>3.5</w:t>
                  </w:r>
                  <w:r>
                    <w:rPr>
                      <w:rFonts w:hint="eastAsia"/>
                      <w:szCs w:val="21"/>
                    </w:rPr>
                    <w:t>～</w:t>
                  </w:r>
                  <w:r>
                    <w:rPr>
                      <w:szCs w:val="21"/>
                    </w:rPr>
                    <w:t>4.5</w:t>
                  </w:r>
                  <w:r>
                    <w:rPr>
                      <w:rFonts w:hint="eastAsia"/>
                      <w:szCs w:val="21"/>
                    </w:rPr>
                    <w:t>时最稳定，在碱性溶液中极易分解。</w:t>
                  </w:r>
                </w:p>
              </w:tc>
              <w:tc>
                <w:tcPr>
                  <w:tcW w:w="19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不燃</w:t>
                  </w:r>
                </w:p>
              </w:tc>
              <w:tc>
                <w:tcPr>
                  <w:tcW w:w="1477" w:type="dxa"/>
                  <w:tcBorders>
                    <w:top w:val="single" w:color="auto" w:sz="4" w:space="0"/>
                    <w:left w:val="single" w:color="auto" w:sz="4" w:space="0"/>
                    <w:bottom w:val="single" w:color="auto" w:sz="4" w:space="0"/>
                    <w:right w:val="nil"/>
                  </w:tcBorders>
                  <w:vAlign w:val="center"/>
                </w:tcPr>
                <w:p>
                  <w:pPr>
                    <w:jc w:val="center"/>
                    <w:rPr>
                      <w:szCs w:val="21"/>
                      <w:shd w:val="clear" w:color="auto" w:fill="FFFFFF"/>
                    </w:rPr>
                  </w:pPr>
                  <w:r>
                    <w:rPr>
                      <w:rFonts w:hint="eastAsia"/>
                      <w:szCs w:val="21"/>
                    </w:rPr>
                    <w:t>无资料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686" w:hRule="atLeast"/>
                <w:jc w:val="center"/>
              </w:trPr>
              <w:tc>
                <w:tcPr>
                  <w:tcW w:w="760" w:type="dxa"/>
                  <w:tcBorders>
                    <w:top w:val="single" w:color="auto" w:sz="4" w:space="0"/>
                    <w:left w:val="nil"/>
                    <w:bottom w:val="single" w:color="auto" w:sz="12" w:space="0"/>
                    <w:right w:val="single" w:color="auto" w:sz="4" w:space="0"/>
                  </w:tcBorders>
                  <w:vAlign w:val="center"/>
                </w:tcPr>
                <w:p>
                  <w:pPr>
                    <w:adjustRightInd w:val="0"/>
                    <w:snapToGrid w:val="0"/>
                    <w:jc w:val="center"/>
                    <w:rPr>
                      <w:szCs w:val="21"/>
                    </w:rPr>
                  </w:pPr>
                  <w:r>
                    <w:rPr>
                      <w:szCs w:val="21"/>
                    </w:rPr>
                    <w:t>2</w:t>
                  </w:r>
                </w:p>
              </w:tc>
              <w:tc>
                <w:tcPr>
                  <w:tcW w:w="870"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hint="default" w:eastAsia="宋体"/>
                      <w:szCs w:val="21"/>
                      <w:lang w:val="en-US" w:eastAsia="zh-CN"/>
                    </w:rPr>
                  </w:pPr>
                  <w:r>
                    <w:rPr>
                      <w:rFonts w:hint="eastAsia"/>
                      <w:szCs w:val="21"/>
                      <w:lang w:val="en-US" w:eastAsia="zh-CN"/>
                    </w:rPr>
                    <w:t>NaOH</w:t>
                  </w:r>
                </w:p>
              </w:tc>
              <w:tc>
                <w:tcPr>
                  <w:tcW w:w="4115"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left"/>
                    <w:rPr>
                      <w:szCs w:val="21"/>
                    </w:rPr>
                  </w:pPr>
                  <w:r>
                    <w:rPr>
                      <w:rFonts w:hint="eastAsia"/>
                      <w:szCs w:val="21"/>
                    </w:rPr>
                    <w:t>无色液体、强腐蚀性，易溶于水、乙醇、甘油，不溶于丙酮</w:t>
                  </w:r>
                </w:p>
              </w:tc>
              <w:tc>
                <w:tcPr>
                  <w:tcW w:w="1910"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rFonts w:hint="eastAsia"/>
                      <w:szCs w:val="21"/>
                    </w:rPr>
                    <w:t>不燃</w:t>
                  </w:r>
                </w:p>
              </w:tc>
              <w:tc>
                <w:tcPr>
                  <w:tcW w:w="1477" w:type="dxa"/>
                  <w:tcBorders>
                    <w:top w:val="single" w:color="auto" w:sz="4" w:space="0"/>
                    <w:left w:val="single" w:color="auto" w:sz="4" w:space="0"/>
                    <w:bottom w:val="single" w:color="auto" w:sz="12" w:space="0"/>
                    <w:right w:val="nil"/>
                  </w:tcBorders>
                  <w:vAlign w:val="center"/>
                </w:tcPr>
                <w:p>
                  <w:pPr>
                    <w:adjustRightInd w:val="0"/>
                    <w:snapToGrid w:val="0"/>
                    <w:jc w:val="center"/>
                    <w:rPr>
                      <w:szCs w:val="21"/>
                    </w:rPr>
                  </w:pPr>
                  <w:r>
                    <w:rPr>
                      <w:rFonts w:hint="eastAsia"/>
                      <w:szCs w:val="21"/>
                    </w:rPr>
                    <w:t>无资料</w:t>
                  </w:r>
                </w:p>
              </w:tc>
            </w:tr>
          </w:tbl>
          <w:p>
            <w:pPr>
              <w:adjustRightInd w:val="0"/>
              <w:snapToGrid w:val="0"/>
              <w:spacing w:beforeLines="50" w:line="360" w:lineRule="auto"/>
              <w:ind w:firstLine="480" w:firstLineChars="200"/>
              <w:rPr>
                <w:sz w:val="24"/>
                <w:szCs w:val="22"/>
              </w:rPr>
            </w:pPr>
            <w:r>
              <w:rPr>
                <w:sz w:val="24"/>
                <w:szCs w:val="24"/>
              </w:rPr>
              <w:t>2</w:t>
            </w:r>
            <w:r>
              <w:rPr>
                <w:rFonts w:hint="eastAsia"/>
                <w:sz w:val="24"/>
                <w:szCs w:val="24"/>
              </w:rPr>
              <w:t>、</w:t>
            </w:r>
            <w:r>
              <w:rPr>
                <w:rFonts w:hint="eastAsia"/>
                <w:sz w:val="24"/>
              </w:rPr>
              <w:t>主要设备</w:t>
            </w:r>
          </w:p>
          <w:p>
            <w:pPr>
              <w:adjustRightInd w:val="0"/>
              <w:snapToGrid w:val="0"/>
              <w:spacing w:line="360" w:lineRule="auto"/>
              <w:ind w:firstLine="480" w:firstLineChars="200"/>
            </w:pPr>
            <w:r>
              <w:rPr>
                <w:rFonts w:hint="eastAsia"/>
                <w:sz w:val="24"/>
              </w:rPr>
              <w:t>建设项目主要生产设备见表</w:t>
            </w:r>
            <w:r>
              <w:rPr>
                <w:sz w:val="24"/>
              </w:rPr>
              <w:t>1-3</w:t>
            </w:r>
            <w:r>
              <w:rPr>
                <w:rFonts w:hint="eastAsia"/>
                <w:sz w:val="24"/>
              </w:rPr>
              <w:t>。</w:t>
            </w:r>
          </w:p>
          <w:p>
            <w:pPr>
              <w:adjustRightInd w:val="0"/>
              <w:snapToGrid w:val="0"/>
              <w:jc w:val="center"/>
              <w:rPr>
                <w:b/>
                <w:bCs/>
                <w:sz w:val="24"/>
                <w:szCs w:val="24"/>
              </w:rPr>
            </w:pPr>
            <w:r>
              <w:rPr>
                <w:rFonts w:hint="eastAsia"/>
                <w:b/>
                <w:bCs/>
                <w:sz w:val="24"/>
                <w:szCs w:val="24"/>
              </w:rPr>
              <w:t>表</w:t>
            </w:r>
            <w:r>
              <w:rPr>
                <w:b/>
                <w:bCs/>
                <w:sz w:val="24"/>
                <w:szCs w:val="24"/>
              </w:rPr>
              <w:t xml:space="preserve">1-3  </w:t>
            </w:r>
            <w:r>
              <w:rPr>
                <w:rFonts w:hint="eastAsia"/>
                <w:b/>
                <w:bCs/>
                <w:sz w:val="24"/>
                <w:szCs w:val="24"/>
              </w:rPr>
              <w:t>建设项目主要设备一览表</w:t>
            </w:r>
          </w:p>
          <w:tbl>
            <w:tblPr>
              <w:tblStyle w:val="33"/>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11"/>
              <w:gridCol w:w="2299"/>
              <w:gridCol w:w="2219"/>
              <w:gridCol w:w="1134"/>
              <w:gridCol w:w="15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011" w:type="dxa"/>
                  <w:tcBorders>
                    <w:top w:val="single" w:color="auto" w:sz="12" w:space="0"/>
                    <w:left w:val="nil"/>
                    <w:bottom w:val="single" w:color="auto" w:sz="4" w:space="0"/>
                    <w:right w:val="single" w:color="auto" w:sz="4" w:space="0"/>
                  </w:tcBorders>
                  <w:vAlign w:val="center"/>
                </w:tcPr>
                <w:p>
                  <w:pPr>
                    <w:jc w:val="center"/>
                    <w:rPr>
                      <w:b/>
                      <w:szCs w:val="21"/>
                    </w:rPr>
                  </w:pPr>
                  <w:r>
                    <w:rPr>
                      <w:rFonts w:hint="eastAsia"/>
                      <w:b/>
                      <w:szCs w:val="21"/>
                    </w:rPr>
                    <w:t>序号</w:t>
                  </w:r>
                </w:p>
              </w:tc>
              <w:tc>
                <w:tcPr>
                  <w:tcW w:w="2299" w:type="dxa"/>
                  <w:tcBorders>
                    <w:top w:val="single" w:color="auto" w:sz="12" w:space="0"/>
                    <w:left w:val="single" w:color="auto" w:sz="4" w:space="0"/>
                    <w:bottom w:val="single" w:color="auto" w:sz="4" w:space="0"/>
                    <w:right w:val="single" w:color="auto" w:sz="4" w:space="0"/>
                  </w:tcBorders>
                  <w:vAlign w:val="center"/>
                </w:tcPr>
                <w:p>
                  <w:pPr>
                    <w:jc w:val="center"/>
                    <w:rPr>
                      <w:b/>
                      <w:szCs w:val="21"/>
                    </w:rPr>
                  </w:pPr>
                  <w:r>
                    <w:rPr>
                      <w:rFonts w:hint="eastAsia"/>
                      <w:b/>
                      <w:szCs w:val="21"/>
                    </w:rPr>
                    <w:t>设备名称</w:t>
                  </w:r>
                </w:p>
              </w:tc>
              <w:tc>
                <w:tcPr>
                  <w:tcW w:w="2219" w:type="dxa"/>
                  <w:tcBorders>
                    <w:top w:val="single" w:color="auto" w:sz="12" w:space="0"/>
                    <w:left w:val="single" w:color="auto" w:sz="4" w:space="0"/>
                    <w:bottom w:val="single" w:color="auto" w:sz="4" w:space="0"/>
                    <w:right w:val="single" w:color="auto" w:sz="4" w:space="0"/>
                  </w:tcBorders>
                  <w:vAlign w:val="center"/>
                </w:tcPr>
                <w:p>
                  <w:pPr>
                    <w:jc w:val="center"/>
                    <w:rPr>
                      <w:b/>
                      <w:szCs w:val="21"/>
                    </w:rPr>
                  </w:pPr>
                  <w:r>
                    <w:rPr>
                      <w:rFonts w:hint="eastAsia"/>
                      <w:b/>
                      <w:szCs w:val="21"/>
                    </w:rPr>
                    <w:t>规格</w:t>
                  </w:r>
                </w:p>
              </w:tc>
              <w:tc>
                <w:tcPr>
                  <w:tcW w:w="1134" w:type="dxa"/>
                  <w:tcBorders>
                    <w:top w:val="single" w:color="auto" w:sz="12" w:space="0"/>
                    <w:left w:val="single" w:color="auto" w:sz="4" w:space="0"/>
                    <w:bottom w:val="single" w:color="auto" w:sz="4" w:space="0"/>
                    <w:right w:val="single" w:color="auto" w:sz="4" w:space="0"/>
                  </w:tcBorders>
                  <w:vAlign w:val="center"/>
                </w:tcPr>
                <w:p>
                  <w:pPr>
                    <w:jc w:val="center"/>
                    <w:rPr>
                      <w:b/>
                      <w:szCs w:val="21"/>
                    </w:rPr>
                  </w:pPr>
                  <w:r>
                    <w:rPr>
                      <w:rFonts w:hint="eastAsia"/>
                      <w:b/>
                      <w:szCs w:val="21"/>
                    </w:rPr>
                    <w:t>来源</w:t>
                  </w:r>
                </w:p>
              </w:tc>
              <w:tc>
                <w:tcPr>
                  <w:tcW w:w="1593" w:type="dxa"/>
                  <w:tcBorders>
                    <w:top w:val="single" w:color="auto" w:sz="12" w:space="0"/>
                    <w:left w:val="single" w:color="auto" w:sz="4" w:space="0"/>
                    <w:bottom w:val="single" w:color="auto" w:sz="4" w:space="0"/>
                    <w:right w:val="nil"/>
                  </w:tcBorders>
                  <w:vAlign w:val="center"/>
                </w:tcPr>
                <w:p>
                  <w:pPr>
                    <w:jc w:val="center"/>
                    <w:rPr>
                      <w:b/>
                      <w:szCs w:val="21"/>
                    </w:rPr>
                  </w:pPr>
                  <w:r>
                    <w:rPr>
                      <w:rFonts w:hint="eastAsia"/>
                      <w:b/>
                      <w:szCs w:val="21"/>
                    </w:rPr>
                    <w:t>数量（台）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1" w:type="dxa"/>
                  <w:tcBorders>
                    <w:top w:val="single" w:color="auto" w:sz="4" w:space="0"/>
                    <w:left w:val="nil"/>
                    <w:bottom w:val="single" w:color="auto" w:sz="4" w:space="0"/>
                    <w:right w:val="single" w:color="auto" w:sz="4" w:space="0"/>
                  </w:tcBorders>
                  <w:vAlign w:val="center"/>
                </w:tcPr>
                <w:p>
                  <w:pPr>
                    <w:jc w:val="center"/>
                    <w:rPr>
                      <w:szCs w:val="21"/>
                    </w:rPr>
                  </w:pPr>
                  <w:r>
                    <w:rPr>
                      <w:szCs w:val="21"/>
                    </w:rPr>
                    <w:t>1</w:t>
                  </w:r>
                </w:p>
              </w:tc>
              <w:tc>
                <w:tcPr>
                  <w:tcW w:w="229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木粉粉碎机</w:t>
                  </w:r>
                </w:p>
              </w:tc>
              <w:tc>
                <w:tcPr>
                  <w:tcW w:w="221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外购</w:t>
                  </w:r>
                </w:p>
              </w:tc>
              <w:tc>
                <w:tcPr>
                  <w:tcW w:w="1593" w:type="dxa"/>
                  <w:tcBorders>
                    <w:top w:val="single" w:color="auto" w:sz="4" w:space="0"/>
                    <w:left w:val="single" w:color="auto" w:sz="4" w:space="0"/>
                    <w:bottom w:val="single" w:color="auto" w:sz="4" w:space="0"/>
                    <w:right w:val="nil"/>
                  </w:tcBorders>
                  <w:vAlign w:val="center"/>
                </w:tcPr>
                <w:p>
                  <w:pPr>
                    <w:jc w:val="center"/>
                    <w:rPr>
                      <w:szCs w:val="21"/>
                    </w:rPr>
                  </w:pPr>
                  <w:r>
                    <w:rPr>
                      <w:rFonts w:hint="eastAsia"/>
                      <w:szCs w:val="21"/>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011" w:type="dxa"/>
                  <w:tcBorders>
                    <w:top w:val="single" w:color="auto" w:sz="4" w:space="0"/>
                    <w:left w:val="nil"/>
                    <w:bottom w:val="single" w:color="auto" w:sz="4" w:space="0"/>
                    <w:right w:val="single" w:color="auto" w:sz="4" w:space="0"/>
                  </w:tcBorders>
                  <w:vAlign w:val="center"/>
                </w:tcPr>
                <w:p>
                  <w:pPr>
                    <w:jc w:val="center"/>
                    <w:rPr>
                      <w:szCs w:val="21"/>
                    </w:rPr>
                  </w:pPr>
                  <w:r>
                    <w:rPr>
                      <w:szCs w:val="21"/>
                    </w:rPr>
                    <w:t>2</w:t>
                  </w:r>
                </w:p>
              </w:tc>
              <w:tc>
                <w:tcPr>
                  <w:tcW w:w="229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筛粉机</w:t>
                  </w:r>
                </w:p>
              </w:tc>
              <w:tc>
                <w:tcPr>
                  <w:tcW w:w="221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外购</w:t>
                  </w:r>
                </w:p>
              </w:tc>
              <w:tc>
                <w:tcPr>
                  <w:tcW w:w="1593" w:type="dxa"/>
                  <w:tcBorders>
                    <w:top w:val="single" w:color="auto" w:sz="4" w:space="0"/>
                    <w:left w:val="single" w:color="auto" w:sz="4" w:space="0"/>
                    <w:bottom w:val="single" w:color="auto" w:sz="4" w:space="0"/>
                    <w:right w:val="nil"/>
                  </w:tcBorders>
                  <w:vAlign w:val="center"/>
                </w:tcPr>
                <w:p>
                  <w:pPr>
                    <w:jc w:val="center"/>
                    <w:rPr>
                      <w:szCs w:val="21"/>
                    </w:rPr>
                  </w:pPr>
                  <w:r>
                    <w:rPr>
                      <w:rFonts w:hint="eastAsia"/>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011" w:type="dxa"/>
                  <w:tcBorders>
                    <w:top w:val="single" w:color="auto" w:sz="4" w:space="0"/>
                    <w:left w:val="nil"/>
                    <w:bottom w:val="single" w:color="auto" w:sz="4" w:space="0"/>
                    <w:right w:val="single" w:color="auto" w:sz="4" w:space="0"/>
                  </w:tcBorders>
                  <w:vAlign w:val="center"/>
                </w:tcPr>
                <w:p>
                  <w:pPr>
                    <w:jc w:val="center"/>
                    <w:rPr>
                      <w:szCs w:val="21"/>
                    </w:rPr>
                  </w:pPr>
                  <w:r>
                    <w:rPr>
                      <w:szCs w:val="21"/>
                    </w:rPr>
                    <w:t>3</w:t>
                  </w:r>
                </w:p>
              </w:tc>
              <w:tc>
                <w:tcPr>
                  <w:tcW w:w="229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漂白机</w:t>
                  </w:r>
                </w:p>
              </w:tc>
              <w:tc>
                <w:tcPr>
                  <w:tcW w:w="221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外购</w:t>
                  </w:r>
                </w:p>
              </w:tc>
              <w:tc>
                <w:tcPr>
                  <w:tcW w:w="1593" w:type="dxa"/>
                  <w:tcBorders>
                    <w:top w:val="single" w:color="auto" w:sz="4" w:space="0"/>
                    <w:left w:val="single" w:color="auto" w:sz="4" w:space="0"/>
                    <w:bottom w:val="single" w:color="auto" w:sz="4" w:space="0"/>
                    <w:right w:val="nil"/>
                  </w:tcBorders>
                  <w:vAlign w:val="center"/>
                </w:tcPr>
                <w:p>
                  <w:pPr>
                    <w:jc w:val="center"/>
                    <w:rPr>
                      <w:szCs w:val="21"/>
                    </w:rPr>
                  </w:pPr>
                  <w:r>
                    <w:rPr>
                      <w:rFonts w:hint="eastAsia"/>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011" w:type="dxa"/>
                  <w:tcBorders>
                    <w:top w:val="single" w:color="auto" w:sz="4" w:space="0"/>
                    <w:left w:val="nil"/>
                    <w:bottom w:val="single" w:color="auto" w:sz="4" w:space="0"/>
                    <w:right w:val="single" w:color="auto" w:sz="4" w:space="0"/>
                  </w:tcBorders>
                  <w:vAlign w:val="center"/>
                </w:tcPr>
                <w:p>
                  <w:pPr>
                    <w:jc w:val="center"/>
                    <w:rPr>
                      <w:szCs w:val="21"/>
                    </w:rPr>
                  </w:pPr>
                  <w:r>
                    <w:rPr>
                      <w:szCs w:val="21"/>
                    </w:rPr>
                    <w:t>4</w:t>
                  </w:r>
                </w:p>
              </w:tc>
              <w:tc>
                <w:tcPr>
                  <w:tcW w:w="229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脉冲式布袋除尘设备</w:t>
                  </w:r>
                </w:p>
              </w:tc>
              <w:tc>
                <w:tcPr>
                  <w:tcW w:w="221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外购</w:t>
                  </w:r>
                </w:p>
              </w:tc>
              <w:tc>
                <w:tcPr>
                  <w:tcW w:w="1593" w:type="dxa"/>
                  <w:tcBorders>
                    <w:top w:val="single" w:color="auto" w:sz="4" w:space="0"/>
                    <w:left w:val="single" w:color="auto" w:sz="4" w:space="0"/>
                    <w:bottom w:val="single" w:color="auto" w:sz="4" w:space="0"/>
                    <w:right w:val="nil"/>
                  </w:tcBorders>
                  <w:vAlign w:val="center"/>
                </w:tcPr>
                <w:p>
                  <w:pPr>
                    <w:jc w:val="center"/>
                    <w:rPr>
                      <w:szCs w:val="21"/>
                    </w:rPr>
                  </w:pPr>
                  <w:r>
                    <w:rPr>
                      <w:rFonts w:hint="eastAsia"/>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011" w:type="dxa"/>
                  <w:tcBorders>
                    <w:top w:val="single" w:color="auto" w:sz="4" w:space="0"/>
                    <w:left w:val="nil"/>
                    <w:bottom w:val="single" w:color="auto" w:sz="12" w:space="0"/>
                    <w:right w:val="single" w:color="auto" w:sz="4" w:space="0"/>
                  </w:tcBorders>
                  <w:vAlign w:val="center"/>
                </w:tcPr>
                <w:p>
                  <w:pPr>
                    <w:jc w:val="center"/>
                    <w:rPr>
                      <w:szCs w:val="21"/>
                    </w:rPr>
                  </w:pPr>
                  <w:r>
                    <w:rPr>
                      <w:szCs w:val="21"/>
                    </w:rPr>
                    <w:t>5</w:t>
                  </w:r>
                </w:p>
              </w:tc>
              <w:tc>
                <w:tcPr>
                  <w:tcW w:w="2299" w:type="dxa"/>
                  <w:tcBorders>
                    <w:top w:val="single" w:color="auto" w:sz="4" w:space="0"/>
                    <w:left w:val="single" w:color="auto" w:sz="4" w:space="0"/>
                    <w:bottom w:val="single" w:color="auto" w:sz="12" w:space="0"/>
                    <w:right w:val="single" w:color="auto" w:sz="4" w:space="0"/>
                  </w:tcBorders>
                  <w:vAlign w:val="center"/>
                </w:tcPr>
                <w:p>
                  <w:pPr>
                    <w:jc w:val="center"/>
                    <w:rPr>
                      <w:szCs w:val="21"/>
                    </w:rPr>
                  </w:pPr>
                  <w:r>
                    <w:rPr>
                      <w:rFonts w:hint="eastAsia"/>
                      <w:szCs w:val="21"/>
                    </w:rPr>
                    <w:t>反应锅</w:t>
                  </w:r>
                </w:p>
              </w:tc>
              <w:tc>
                <w:tcPr>
                  <w:tcW w:w="2219" w:type="dxa"/>
                  <w:tcBorders>
                    <w:top w:val="single" w:color="auto" w:sz="4" w:space="0"/>
                    <w:left w:val="single" w:color="auto" w:sz="4" w:space="0"/>
                    <w:bottom w:val="single" w:color="auto" w:sz="12" w:space="0"/>
                    <w:right w:val="single" w:color="auto" w:sz="4" w:space="0"/>
                  </w:tcBorders>
                  <w:vAlign w:val="center"/>
                </w:tcPr>
                <w:p>
                  <w:pPr>
                    <w:jc w:val="center"/>
                    <w:rPr>
                      <w:szCs w:val="21"/>
                    </w:rPr>
                  </w:pPr>
                  <w:r>
                    <w:rPr>
                      <w:rFonts w:hint="eastAsia"/>
                      <w:szCs w:val="21"/>
                    </w:rPr>
                    <w:t>直径</w:t>
                  </w:r>
                  <w:r>
                    <w:rPr>
                      <w:szCs w:val="21"/>
                    </w:rPr>
                    <w:t>1.</w:t>
                  </w:r>
                  <w:r>
                    <w:rPr>
                      <w:rFonts w:hint="eastAsia"/>
                      <w:szCs w:val="21"/>
                      <w:lang w:val="en-US" w:eastAsia="zh-CN"/>
                    </w:rPr>
                    <w:t>8</w:t>
                  </w:r>
                  <w:r>
                    <w:rPr>
                      <w:szCs w:val="21"/>
                    </w:rPr>
                    <w:t>m</w:t>
                  </w:r>
                  <w:r>
                    <w:rPr>
                      <w:rFonts w:hint="eastAsia"/>
                      <w:szCs w:val="21"/>
                    </w:rPr>
                    <w:t>，深度</w:t>
                  </w:r>
                  <w:r>
                    <w:rPr>
                      <w:rFonts w:hint="eastAsia"/>
                      <w:szCs w:val="21"/>
                      <w:lang w:val="en-US" w:eastAsia="zh-CN"/>
                    </w:rPr>
                    <w:t>1.8</w:t>
                  </w:r>
                  <w:r>
                    <w:rPr>
                      <w:szCs w:val="21"/>
                    </w:rPr>
                    <w:t>m</w:t>
                  </w: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szCs w:val="21"/>
                    </w:rPr>
                  </w:pPr>
                  <w:r>
                    <w:rPr>
                      <w:rFonts w:hint="eastAsia"/>
                      <w:szCs w:val="21"/>
                    </w:rPr>
                    <w:t>外购</w:t>
                  </w:r>
                </w:p>
              </w:tc>
              <w:tc>
                <w:tcPr>
                  <w:tcW w:w="1593" w:type="dxa"/>
                  <w:tcBorders>
                    <w:top w:val="single" w:color="auto" w:sz="4" w:space="0"/>
                    <w:left w:val="single" w:color="auto" w:sz="4" w:space="0"/>
                    <w:bottom w:val="single" w:color="auto" w:sz="12" w:space="0"/>
                    <w:right w:val="nil"/>
                  </w:tcBorders>
                  <w:vAlign w:val="center"/>
                </w:tcPr>
                <w:p>
                  <w:pPr>
                    <w:jc w:val="center"/>
                    <w:rPr>
                      <w:szCs w:val="21"/>
                    </w:rPr>
                  </w:pPr>
                  <w:r>
                    <w:rPr>
                      <w:rFonts w:hint="eastAsia"/>
                      <w:szCs w:val="21"/>
                    </w:rPr>
                    <w:t>1</w:t>
                  </w:r>
                </w:p>
              </w:tc>
            </w:tr>
          </w:tbl>
          <w:p>
            <w:pPr>
              <w:rPr>
                <w:rFonts w:ascii="Calibri" w:hAnsi="Calibri"/>
                <w:szCs w:val="22"/>
              </w:rPr>
            </w:pPr>
          </w:p>
          <w:p>
            <w:pPr>
              <w:spacing w:line="360" w:lineRule="auto"/>
              <w:rPr>
                <w:b/>
                <w:bCs/>
                <w:sz w:val="24"/>
              </w:rPr>
            </w:pPr>
          </w:p>
          <w:p>
            <w:pPr>
              <w:spacing w:line="360" w:lineRule="auto"/>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14"/>
            <w:tcBorders>
              <w:bottom w:val="single" w:color="auto" w:sz="4" w:space="0"/>
            </w:tcBorders>
          </w:tcPr>
          <w:p>
            <w:pPr>
              <w:spacing w:line="360" w:lineRule="auto"/>
              <w:rPr>
                <w:b/>
                <w:bCs/>
                <w:sz w:val="24"/>
              </w:rPr>
            </w:pPr>
            <w:r>
              <w:rPr>
                <w:b/>
                <w:bCs/>
                <w:sz w:val="24"/>
              </w:rPr>
              <w:t>工程内容及规模（不够时可附另页）：</w:t>
            </w:r>
          </w:p>
          <w:p>
            <w:pPr>
              <w:numPr>
                <w:ilvl w:val="0"/>
                <w:numId w:val="2"/>
              </w:numPr>
              <w:spacing w:line="360" w:lineRule="auto"/>
              <w:ind w:left="0" w:firstLine="480" w:firstLineChars="200"/>
              <w:rPr>
                <w:sz w:val="24"/>
              </w:rPr>
            </w:pPr>
            <w:r>
              <w:rPr>
                <w:sz w:val="24"/>
              </w:rPr>
              <w:t>项目概况</w:t>
            </w:r>
          </w:p>
          <w:p>
            <w:pPr>
              <w:spacing w:line="360" w:lineRule="auto"/>
              <w:ind w:firstLine="480" w:firstLineChars="200"/>
              <w:rPr>
                <w:sz w:val="24"/>
                <w:szCs w:val="24"/>
              </w:rPr>
            </w:pPr>
            <w:r>
              <w:rPr>
                <w:rFonts w:hint="eastAsia"/>
                <w:sz w:val="24"/>
                <w:szCs w:val="24"/>
              </w:rPr>
              <w:t>为了满足市场需求，沭阳县光旺木制品有限公司投资200万元人民币，在</w:t>
            </w:r>
            <w:r>
              <w:rPr>
                <w:rFonts w:hint="eastAsia" w:hAnsi="宋体"/>
                <w:sz w:val="24"/>
                <w:szCs w:val="24"/>
              </w:rPr>
              <w:t>沭阳县龙庙镇朱庄村三组38号</w:t>
            </w:r>
            <w:r>
              <w:rPr>
                <w:rFonts w:hint="eastAsia"/>
                <w:sz w:val="24"/>
                <w:szCs w:val="24"/>
              </w:rPr>
              <w:t>，租赁厂房及配套用房1500平方米，新购置木粉粉碎机、筛粉机、漂白机等设备，项目建成投产后，将形成年产木质纤维粉3000吨的生产能力，本项目已于2018年11月6日至沭阳县发改局完成项目备案（沭发改备[2018]281号）。</w:t>
            </w:r>
          </w:p>
          <w:p>
            <w:pPr>
              <w:adjustRightInd w:val="0"/>
              <w:snapToGrid w:val="0"/>
              <w:spacing w:line="360" w:lineRule="auto"/>
              <w:ind w:firstLine="480" w:firstLineChars="200"/>
              <w:rPr>
                <w:rFonts w:hAnsi="宋体"/>
                <w:sz w:val="24"/>
                <w:szCs w:val="24"/>
              </w:rPr>
            </w:pPr>
            <w:r>
              <w:rPr>
                <w:rFonts w:hint="eastAsia" w:hAnsi="宋体"/>
                <w:sz w:val="24"/>
                <w:szCs w:val="24"/>
              </w:rPr>
              <w:t>目前，</w:t>
            </w:r>
            <w:r>
              <w:rPr>
                <w:rFonts w:hAnsi="宋体"/>
                <w:sz w:val="24"/>
                <w:szCs w:val="24"/>
              </w:rPr>
              <w:t>该项目</w:t>
            </w:r>
            <w:r>
              <w:rPr>
                <w:rFonts w:hint="eastAsia" w:hAnsi="宋体"/>
                <w:sz w:val="24"/>
                <w:szCs w:val="24"/>
              </w:rPr>
              <w:t>已建成，</w:t>
            </w:r>
            <w:r>
              <w:rPr>
                <w:rFonts w:hAnsi="宋体"/>
                <w:sz w:val="24"/>
                <w:szCs w:val="24"/>
              </w:rPr>
              <w:t>沭阳县</w:t>
            </w:r>
            <w:r>
              <w:rPr>
                <w:rFonts w:hint="eastAsia" w:hAnsi="宋体"/>
                <w:sz w:val="24"/>
                <w:szCs w:val="24"/>
              </w:rPr>
              <w:t>环保局已下达行政处罚决定书（沭环罚决字[</w:t>
            </w:r>
            <w:r>
              <w:rPr>
                <w:rFonts w:hAnsi="宋体"/>
                <w:sz w:val="24"/>
                <w:szCs w:val="24"/>
              </w:rPr>
              <w:t>201</w:t>
            </w:r>
            <w:r>
              <w:rPr>
                <w:rFonts w:hint="eastAsia" w:hAnsi="宋体"/>
                <w:sz w:val="24"/>
                <w:szCs w:val="24"/>
              </w:rPr>
              <w:t>9]6号</w:t>
            </w:r>
            <w:r>
              <w:rPr>
                <w:rFonts w:hAnsi="宋体"/>
                <w:sz w:val="24"/>
                <w:szCs w:val="24"/>
              </w:rPr>
              <w:t>）</w:t>
            </w:r>
            <w:r>
              <w:rPr>
                <w:rFonts w:hint="eastAsia" w:hAnsi="宋体"/>
                <w:sz w:val="24"/>
                <w:szCs w:val="24"/>
              </w:rPr>
              <w:t>，</w:t>
            </w:r>
            <w:r>
              <w:rPr>
                <w:rFonts w:hAnsi="宋体"/>
                <w:sz w:val="24"/>
                <w:szCs w:val="24"/>
              </w:rPr>
              <w:t>根据</w:t>
            </w:r>
            <w:r>
              <w:rPr>
                <w:rFonts w:hint="eastAsia" w:hAnsi="宋体"/>
                <w:sz w:val="24"/>
                <w:szCs w:val="24"/>
              </w:rPr>
              <w:t>处罚意见以及《中华人民共和国环境保护法》、国务院第</w:t>
            </w:r>
            <w:r>
              <w:rPr>
                <w:rFonts w:hAnsi="宋体"/>
                <w:sz w:val="24"/>
                <w:szCs w:val="24"/>
              </w:rPr>
              <w:t>682</w:t>
            </w:r>
            <w:r>
              <w:rPr>
                <w:rFonts w:hint="eastAsia" w:hAnsi="宋体"/>
                <w:sz w:val="24"/>
                <w:szCs w:val="24"/>
              </w:rPr>
              <w:t>号文《国务院关于</w:t>
            </w:r>
            <w:r>
              <w:rPr>
                <w:rFonts w:hAnsi="宋体"/>
                <w:sz w:val="24"/>
                <w:szCs w:val="24"/>
              </w:rPr>
              <w:t>修改</w:t>
            </w:r>
            <w:r>
              <w:rPr>
                <w:rFonts w:hint="eastAsia" w:hAnsi="宋体"/>
                <w:sz w:val="24"/>
                <w:szCs w:val="24"/>
              </w:rPr>
              <w:t>&lt;建设项目环境保护管理条例&gt;的</w:t>
            </w:r>
            <w:r>
              <w:rPr>
                <w:rFonts w:hAnsi="宋体"/>
                <w:sz w:val="24"/>
                <w:szCs w:val="24"/>
              </w:rPr>
              <w:t>决定</w:t>
            </w:r>
            <w:r>
              <w:rPr>
                <w:rFonts w:hint="eastAsia" w:hAnsi="宋体"/>
                <w:sz w:val="24"/>
                <w:szCs w:val="24"/>
              </w:rPr>
              <w:t>》、《中华人民共和国环境影响评价法》的有关规定，沭阳县光旺木制品有限公司委托江苏圣泰环境科技股份有限公司编制其“</w:t>
            </w:r>
            <w:r>
              <w:rPr>
                <w:rFonts w:hint="eastAsia"/>
                <w:sz w:val="24"/>
                <w:szCs w:val="24"/>
              </w:rPr>
              <w:t>木质纤维粉加工、销售</w:t>
            </w:r>
            <w:r>
              <w:rPr>
                <w:sz w:val="24"/>
                <w:szCs w:val="24"/>
              </w:rPr>
              <w:t>项目</w:t>
            </w:r>
            <w:r>
              <w:rPr>
                <w:rFonts w:hint="eastAsia" w:hAnsi="宋体"/>
                <w:sz w:val="24"/>
                <w:szCs w:val="24"/>
              </w:rPr>
              <w:t>”环境影响报告表。我公司接受委托后，认真研究了该项目的有关资料，在踏勘现场的社会、自然环境状况，调查、收集有关建设项目资料的基础上，根据项目所在区域的环境特征、结合工程污染特性等因素，编制了本项目环境影响报告表。通过环境影响评价，阐明建设项目对周围环境影响的程度和范围，并提出环境污染控制措施，为建设项目的工程设计和环境管理提供科学依据，报请环保主管部门审批。</w:t>
            </w:r>
          </w:p>
          <w:p>
            <w:pPr>
              <w:spacing w:line="360" w:lineRule="auto"/>
              <w:ind w:firstLine="480" w:firstLineChars="200"/>
              <w:rPr>
                <w:sz w:val="24"/>
              </w:rPr>
            </w:pPr>
            <w:r>
              <w:rPr>
                <w:sz w:val="24"/>
                <w:szCs w:val="24"/>
              </w:rPr>
              <w:t>2、产业政策</w:t>
            </w:r>
          </w:p>
          <w:p>
            <w:pPr>
              <w:spacing w:line="360" w:lineRule="auto"/>
              <w:ind w:firstLine="480" w:firstLineChars="200"/>
              <w:rPr>
                <w:kern w:val="0"/>
                <w:sz w:val="24"/>
              </w:rPr>
            </w:pPr>
            <w:r>
              <w:rPr>
                <w:kern w:val="0"/>
                <w:sz w:val="24"/>
              </w:rPr>
              <w:t>（1）</w:t>
            </w:r>
            <w:r>
              <w:rPr>
                <w:rFonts w:hint="eastAsia"/>
                <w:kern w:val="0"/>
                <w:sz w:val="24"/>
              </w:rPr>
              <w:t>本项目</w:t>
            </w:r>
            <w:r>
              <w:rPr>
                <w:kern w:val="0"/>
                <w:sz w:val="24"/>
              </w:rPr>
              <w:t>不属于《产业结构调整指导目录(2011年本)》及《国家发展改革委关于修改&lt;产业结构调整指导目录（2011年本）&gt;有关条款的决定》中规定的</w:t>
            </w:r>
            <w:r>
              <w:rPr>
                <w:rFonts w:ascii="宋体" w:hAnsi="宋体"/>
                <w:kern w:val="0"/>
                <w:sz w:val="24"/>
              </w:rPr>
              <w:t>“限制类”和“淘汰类”</w:t>
            </w:r>
            <w:r>
              <w:rPr>
                <w:kern w:val="0"/>
                <w:sz w:val="24"/>
              </w:rPr>
              <w:t>中所列其他条款，同时也不属于《江苏省工业和信息产业结构调整指导目录（2012年本）》（苏政办发[2013]9号）</w:t>
            </w:r>
            <w:r>
              <w:rPr>
                <w:rFonts w:hint="eastAsia"/>
                <w:sz w:val="24"/>
                <w:szCs w:val="24"/>
              </w:rPr>
              <w:t>及《江苏省工业和信息产业结构调整限值淘汰目录和能耗限额的通知》苏政办发[2015]118 号文</w:t>
            </w:r>
            <w:r>
              <w:rPr>
                <w:sz w:val="24"/>
                <w:szCs w:val="24"/>
              </w:rPr>
              <w:t>中限制类和淘汰类，为允许类</w:t>
            </w:r>
            <w:r>
              <w:rPr>
                <w:rFonts w:hint="eastAsia"/>
                <w:sz w:val="24"/>
                <w:szCs w:val="24"/>
              </w:rPr>
              <w:t>。</w:t>
            </w:r>
            <w:r>
              <w:rPr>
                <w:kern w:val="0"/>
                <w:sz w:val="24"/>
              </w:rPr>
              <w:t>符合国家及江苏省产业政策的各项相关规定。</w:t>
            </w:r>
          </w:p>
          <w:p>
            <w:pPr>
              <w:spacing w:line="360" w:lineRule="auto"/>
              <w:ind w:firstLine="480" w:firstLineChars="200"/>
              <w:rPr>
                <w:sz w:val="24"/>
              </w:rPr>
            </w:pPr>
            <w:r>
              <w:rPr>
                <w:sz w:val="24"/>
              </w:rPr>
              <w:t>（2）</w:t>
            </w:r>
            <w:r>
              <w:rPr>
                <w:rFonts w:hint="eastAsia"/>
                <w:sz w:val="24"/>
              </w:rPr>
              <w:t>本</w:t>
            </w:r>
            <w:r>
              <w:rPr>
                <w:sz w:val="24"/>
              </w:rPr>
              <w:t>项目不属于《限制用地项目目录（2012年本）》、《禁止用地项目目录（2012年本）》中限制和禁止项目，同时也不属于《江苏省限制用地项目目录（2013年本）》和《江苏省禁止用地项目目录（2013年本）》中限制和禁止用地项目。</w:t>
            </w:r>
          </w:p>
          <w:p>
            <w:pPr>
              <w:pStyle w:val="92"/>
              <w:spacing w:line="360" w:lineRule="auto"/>
              <w:ind w:firstLine="480" w:firstLineChars="200"/>
              <w:jc w:val="both"/>
              <w:rPr>
                <w:rFonts w:ascii="Times New Roman" w:hAnsi="Times New Roman"/>
                <w:color w:val="auto"/>
                <w:szCs w:val="23"/>
              </w:rPr>
            </w:pPr>
            <w:r>
              <w:rPr>
                <w:rFonts w:hint="eastAsia" w:ascii="Times New Roman" w:hAnsi="Times New Roman"/>
                <w:color w:val="auto"/>
              </w:rPr>
              <w:t>建设项目所在地不属于《江苏省生态红线区域保护规划》内的保护区域。</w:t>
            </w:r>
            <w:r>
              <w:rPr>
                <w:rFonts w:ascii="Times New Roman" w:hAnsi="Times New Roman"/>
                <w:color w:val="auto"/>
              </w:rPr>
              <w:t>建设项目位于</w:t>
            </w:r>
            <w:r>
              <w:rPr>
                <w:rFonts w:hint="eastAsia" w:hAnsi="宋体"/>
                <w:color w:val="auto"/>
              </w:rPr>
              <w:t>沭阳县龙庙镇朱庄村三组</w:t>
            </w:r>
            <w:r>
              <w:rPr>
                <w:rFonts w:ascii="Times New Roman" w:hAnsi="Times New Roman" w:cs="Times New Roman"/>
                <w:color w:val="auto"/>
              </w:rPr>
              <w:t>38</w:t>
            </w:r>
            <w:r>
              <w:rPr>
                <w:rFonts w:hint="eastAsia" w:hAnsi="宋体"/>
                <w:color w:val="auto"/>
              </w:rPr>
              <w:t>号</w:t>
            </w:r>
            <w:r>
              <w:rPr>
                <w:rFonts w:ascii="Times New Roman" w:hAnsi="Times New Roman"/>
                <w:color w:val="auto"/>
              </w:rPr>
              <w:t>，属工业用地，</w:t>
            </w:r>
            <w:r>
              <w:rPr>
                <w:rFonts w:hint="eastAsia" w:ascii="Times New Roman" w:hAnsi="Times New Roman"/>
                <w:color w:val="auto"/>
              </w:rPr>
              <w:t>本项目属于木质纤维粉生产，因此本项目</w:t>
            </w:r>
            <w:r>
              <w:rPr>
                <w:rFonts w:ascii="Times New Roman" w:hAnsi="Times New Roman"/>
                <w:color w:val="auto"/>
              </w:rPr>
              <w:t>符合园区产业定位和用地规划要求。</w:t>
            </w:r>
          </w:p>
          <w:p>
            <w:pPr>
              <w:pStyle w:val="20"/>
              <w:tabs>
                <w:tab w:val="left" w:pos="851"/>
                <w:tab w:val="left" w:pos="1134"/>
                <w:tab w:val="left" w:pos="1276"/>
              </w:tabs>
              <w:rPr>
                <w:color w:val="auto"/>
              </w:rPr>
            </w:pPr>
            <w:r>
              <w:rPr>
                <w:color w:val="auto"/>
              </w:rPr>
              <w:t>综上所述，本项目符合国家及地方法律法规及相关产业政策要求。</w:t>
            </w:r>
          </w:p>
          <w:p>
            <w:pPr>
              <w:spacing w:line="360" w:lineRule="auto"/>
              <w:ind w:firstLine="480" w:firstLineChars="200"/>
              <w:rPr>
                <w:sz w:val="24"/>
                <w:szCs w:val="24"/>
              </w:rPr>
            </w:pPr>
            <w:r>
              <w:rPr>
                <w:sz w:val="24"/>
                <w:szCs w:val="24"/>
              </w:rPr>
              <w:t>3、建设内容及规模</w:t>
            </w:r>
          </w:p>
          <w:p>
            <w:pPr>
              <w:spacing w:line="360" w:lineRule="auto"/>
              <w:ind w:firstLine="480" w:firstLineChars="200"/>
              <w:rPr>
                <w:sz w:val="24"/>
              </w:rPr>
            </w:pPr>
            <w:r>
              <w:rPr>
                <w:sz w:val="24"/>
                <w:szCs w:val="24"/>
              </w:rPr>
              <w:t>本项目主要从事</w:t>
            </w:r>
            <w:r>
              <w:rPr>
                <w:rFonts w:hint="eastAsia"/>
                <w:sz w:val="24"/>
                <w:szCs w:val="24"/>
              </w:rPr>
              <w:t>木质纤维粉的</w:t>
            </w:r>
            <w:r>
              <w:rPr>
                <w:sz w:val="24"/>
                <w:szCs w:val="24"/>
              </w:rPr>
              <w:t>生产</w:t>
            </w:r>
            <w:r>
              <w:rPr>
                <w:rFonts w:hint="eastAsia"/>
                <w:sz w:val="24"/>
                <w:szCs w:val="24"/>
              </w:rPr>
              <w:t>销售</w:t>
            </w:r>
            <w:r>
              <w:rPr>
                <w:sz w:val="24"/>
                <w:szCs w:val="24"/>
              </w:rPr>
              <w:t>，建成营运后</w:t>
            </w:r>
            <w:r>
              <w:rPr>
                <w:rFonts w:hint="eastAsia"/>
                <w:sz w:val="24"/>
                <w:szCs w:val="24"/>
              </w:rPr>
              <w:t>将</w:t>
            </w:r>
            <w:r>
              <w:rPr>
                <w:sz w:val="24"/>
                <w:szCs w:val="24"/>
              </w:rPr>
              <w:t>具有</w:t>
            </w:r>
            <w:r>
              <w:rPr>
                <w:rFonts w:hint="eastAsia"/>
                <w:sz w:val="24"/>
                <w:szCs w:val="24"/>
              </w:rPr>
              <w:t>年产木质纤维粉3000吨</w:t>
            </w:r>
            <w:r>
              <w:rPr>
                <w:sz w:val="24"/>
                <w:szCs w:val="24"/>
              </w:rPr>
              <w:t>的生产能力，建设项目主体</w:t>
            </w:r>
            <w:r>
              <w:rPr>
                <w:sz w:val="24"/>
              </w:rPr>
              <w:t>工程及产品方案详见表1-</w:t>
            </w:r>
            <w:r>
              <w:rPr>
                <w:rFonts w:hint="eastAsia"/>
                <w:sz w:val="24"/>
              </w:rPr>
              <w:t>4</w:t>
            </w:r>
            <w:r>
              <w:rPr>
                <w:sz w:val="24"/>
              </w:rPr>
              <w:t>。</w:t>
            </w:r>
          </w:p>
          <w:p>
            <w:pPr>
              <w:tabs>
                <w:tab w:val="left" w:pos="0"/>
                <w:tab w:val="left" w:pos="1123"/>
              </w:tabs>
              <w:adjustRightInd w:val="0"/>
              <w:snapToGrid w:val="0"/>
              <w:jc w:val="center"/>
              <w:rPr>
                <w:b/>
                <w:sz w:val="24"/>
                <w:szCs w:val="24"/>
              </w:rPr>
            </w:pPr>
            <w:r>
              <w:rPr>
                <w:b/>
                <w:sz w:val="24"/>
                <w:szCs w:val="24"/>
              </w:rPr>
              <w:t>表1-</w:t>
            </w:r>
            <w:r>
              <w:rPr>
                <w:rFonts w:hint="eastAsia"/>
                <w:b/>
                <w:sz w:val="24"/>
                <w:szCs w:val="24"/>
              </w:rPr>
              <w:t xml:space="preserve">4  </w:t>
            </w:r>
            <w:r>
              <w:rPr>
                <w:b/>
                <w:sz w:val="24"/>
                <w:szCs w:val="24"/>
              </w:rPr>
              <w:t>建设项目主体工程及产品方案</w:t>
            </w:r>
          </w:p>
          <w:tbl>
            <w:tblPr>
              <w:tblStyle w:val="33"/>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1" w:type="dxa"/>
                <w:bottom w:w="0" w:type="dxa"/>
                <w:right w:w="11" w:type="dxa"/>
              </w:tblCellMar>
            </w:tblPr>
            <w:tblGrid>
              <w:gridCol w:w="3322"/>
              <w:gridCol w:w="1879"/>
              <w:gridCol w:w="1477"/>
              <w:gridCol w:w="15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142" w:hRule="atLeast"/>
              </w:trPr>
              <w:tc>
                <w:tcPr>
                  <w:tcW w:w="3758" w:type="dxa"/>
                  <w:tcBorders>
                    <w:top w:val="single" w:color="auto" w:sz="12" w:space="0"/>
                    <w:left w:val="nil"/>
                    <w:bottom w:val="single" w:color="auto" w:sz="4" w:space="0"/>
                    <w:right w:val="single" w:color="auto" w:sz="4" w:space="0"/>
                  </w:tcBorders>
                  <w:vAlign w:val="center"/>
                </w:tcPr>
                <w:p>
                  <w:pPr>
                    <w:snapToGrid w:val="0"/>
                    <w:jc w:val="center"/>
                    <w:rPr>
                      <w:b/>
                      <w:szCs w:val="21"/>
                    </w:rPr>
                  </w:pPr>
                  <w:r>
                    <w:rPr>
                      <w:rFonts w:hint="eastAsia"/>
                      <w:b/>
                      <w:szCs w:val="21"/>
                    </w:rPr>
                    <w:t>工程内容</w:t>
                  </w:r>
                </w:p>
              </w:tc>
              <w:tc>
                <w:tcPr>
                  <w:tcW w:w="2111" w:type="dxa"/>
                  <w:tcBorders>
                    <w:top w:val="single" w:color="auto" w:sz="12" w:space="0"/>
                    <w:left w:val="single" w:color="auto" w:sz="4" w:space="0"/>
                    <w:bottom w:val="single" w:color="auto" w:sz="4" w:space="0"/>
                    <w:right w:val="single" w:color="auto" w:sz="4" w:space="0"/>
                  </w:tcBorders>
                  <w:vAlign w:val="center"/>
                </w:tcPr>
                <w:p>
                  <w:pPr>
                    <w:snapToGrid w:val="0"/>
                    <w:jc w:val="center"/>
                    <w:rPr>
                      <w:b/>
                      <w:szCs w:val="21"/>
                    </w:rPr>
                  </w:pPr>
                  <w:r>
                    <w:rPr>
                      <w:rFonts w:hint="eastAsia"/>
                      <w:b/>
                      <w:szCs w:val="21"/>
                    </w:rPr>
                    <w:t>产品名称</w:t>
                  </w:r>
                </w:p>
              </w:tc>
              <w:tc>
                <w:tcPr>
                  <w:tcW w:w="1593" w:type="dxa"/>
                  <w:tcBorders>
                    <w:top w:val="single" w:color="auto" w:sz="12" w:space="0"/>
                    <w:left w:val="single" w:color="auto" w:sz="4" w:space="0"/>
                    <w:bottom w:val="single" w:color="auto" w:sz="4" w:space="0"/>
                    <w:right w:val="single" w:color="auto" w:sz="4" w:space="0"/>
                  </w:tcBorders>
                  <w:vAlign w:val="center"/>
                </w:tcPr>
                <w:p>
                  <w:pPr>
                    <w:snapToGrid w:val="0"/>
                    <w:jc w:val="center"/>
                    <w:rPr>
                      <w:b/>
                      <w:szCs w:val="21"/>
                    </w:rPr>
                  </w:pPr>
                  <w:r>
                    <w:rPr>
                      <w:rFonts w:hint="eastAsia"/>
                      <w:b/>
                      <w:szCs w:val="21"/>
                    </w:rPr>
                    <w:t>产量</w:t>
                  </w:r>
                </w:p>
              </w:tc>
              <w:tc>
                <w:tcPr>
                  <w:tcW w:w="1702" w:type="dxa"/>
                  <w:tcBorders>
                    <w:top w:val="single" w:color="auto" w:sz="12" w:space="0"/>
                    <w:left w:val="single" w:color="auto" w:sz="4" w:space="0"/>
                    <w:bottom w:val="single" w:color="auto" w:sz="4" w:space="0"/>
                    <w:right w:val="nil"/>
                  </w:tcBorders>
                  <w:vAlign w:val="center"/>
                </w:tcPr>
                <w:p>
                  <w:pPr>
                    <w:snapToGrid w:val="0"/>
                    <w:jc w:val="center"/>
                    <w:rPr>
                      <w:b/>
                      <w:szCs w:val="21"/>
                    </w:rPr>
                  </w:pPr>
                  <w:r>
                    <w:rPr>
                      <w:rFonts w:hint="eastAsia"/>
                      <w:b/>
                      <w:szCs w:val="21"/>
                    </w:rPr>
                    <w:t>运行时间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cantSplit/>
                <w:trHeight w:val="192" w:hRule="atLeast"/>
              </w:trPr>
              <w:tc>
                <w:tcPr>
                  <w:tcW w:w="3758" w:type="dxa"/>
                  <w:tcBorders>
                    <w:top w:val="single" w:color="auto" w:sz="4" w:space="0"/>
                    <w:left w:val="nil"/>
                    <w:bottom w:val="single" w:color="auto" w:sz="12" w:space="0"/>
                    <w:right w:val="single" w:color="auto" w:sz="4" w:space="0"/>
                  </w:tcBorders>
                  <w:vAlign w:val="center"/>
                </w:tcPr>
                <w:p>
                  <w:pPr>
                    <w:pStyle w:val="14"/>
                    <w:jc w:val="center"/>
                    <w:rPr>
                      <w:szCs w:val="21"/>
                    </w:rPr>
                  </w:pPr>
                  <w:r>
                    <w:rPr>
                      <w:rFonts w:hint="eastAsia"/>
                    </w:rPr>
                    <w:t>木质纤维粉生产项目</w:t>
                  </w:r>
                </w:p>
              </w:tc>
              <w:tc>
                <w:tcPr>
                  <w:tcW w:w="2111" w:type="dxa"/>
                  <w:tcBorders>
                    <w:top w:val="single" w:color="auto" w:sz="4" w:space="0"/>
                    <w:left w:val="single" w:color="auto" w:sz="4" w:space="0"/>
                    <w:bottom w:val="single" w:color="auto" w:sz="12" w:space="0"/>
                    <w:right w:val="single" w:color="auto" w:sz="4" w:space="0"/>
                  </w:tcBorders>
                  <w:vAlign w:val="center"/>
                </w:tcPr>
                <w:p>
                  <w:pPr>
                    <w:jc w:val="center"/>
                    <w:rPr>
                      <w:szCs w:val="21"/>
                    </w:rPr>
                  </w:pPr>
                  <w:r>
                    <w:rPr>
                      <w:rFonts w:hint="eastAsia"/>
                      <w:szCs w:val="21"/>
                    </w:rPr>
                    <w:t>木质纤维粉</w:t>
                  </w:r>
                </w:p>
              </w:tc>
              <w:tc>
                <w:tcPr>
                  <w:tcW w:w="1593" w:type="dxa"/>
                  <w:tcBorders>
                    <w:top w:val="single" w:color="auto" w:sz="4" w:space="0"/>
                    <w:left w:val="single" w:color="auto" w:sz="4" w:space="0"/>
                    <w:bottom w:val="single" w:color="auto" w:sz="12" w:space="0"/>
                    <w:right w:val="single" w:color="auto" w:sz="4" w:space="0"/>
                  </w:tcBorders>
                  <w:vAlign w:val="center"/>
                </w:tcPr>
                <w:p>
                  <w:pPr>
                    <w:snapToGrid w:val="0"/>
                    <w:jc w:val="center"/>
                    <w:rPr>
                      <w:szCs w:val="21"/>
                    </w:rPr>
                  </w:pPr>
                  <w:r>
                    <w:rPr>
                      <w:rFonts w:hint="eastAsia"/>
                      <w:szCs w:val="21"/>
                    </w:rPr>
                    <w:t>3</w:t>
                  </w:r>
                  <w:r>
                    <w:rPr>
                      <w:szCs w:val="21"/>
                    </w:rPr>
                    <w:t>000t/a</w:t>
                  </w:r>
                </w:p>
              </w:tc>
              <w:tc>
                <w:tcPr>
                  <w:tcW w:w="1702" w:type="dxa"/>
                  <w:tcBorders>
                    <w:top w:val="single" w:color="auto" w:sz="4" w:space="0"/>
                    <w:left w:val="single" w:color="auto" w:sz="4" w:space="0"/>
                    <w:bottom w:val="single" w:color="auto" w:sz="12" w:space="0"/>
                    <w:right w:val="nil"/>
                  </w:tcBorders>
                  <w:vAlign w:val="center"/>
                </w:tcPr>
                <w:p>
                  <w:pPr>
                    <w:snapToGrid w:val="0"/>
                    <w:jc w:val="center"/>
                    <w:rPr>
                      <w:szCs w:val="21"/>
                    </w:rPr>
                  </w:pPr>
                  <w:r>
                    <w:rPr>
                      <w:szCs w:val="21"/>
                    </w:rPr>
                    <w:t>2</w:t>
                  </w:r>
                  <w:r>
                    <w:rPr>
                      <w:rFonts w:hint="eastAsia"/>
                      <w:szCs w:val="21"/>
                    </w:rPr>
                    <w:t>240</w:t>
                  </w:r>
                  <w:r>
                    <w:rPr>
                      <w:szCs w:val="21"/>
                    </w:rPr>
                    <w:t>h/a</w:t>
                  </w:r>
                </w:p>
              </w:tc>
            </w:tr>
          </w:tbl>
          <w:p>
            <w:pPr>
              <w:spacing w:beforeLines="50" w:line="360" w:lineRule="auto"/>
              <w:ind w:firstLine="480" w:firstLineChars="200"/>
              <w:rPr>
                <w:rFonts w:cs="宋体"/>
                <w:sz w:val="24"/>
                <w:szCs w:val="24"/>
              </w:rPr>
            </w:pPr>
            <w:r>
              <w:rPr>
                <w:rFonts w:hint="eastAsia" w:cs="宋体"/>
                <w:sz w:val="24"/>
                <w:szCs w:val="24"/>
              </w:rPr>
              <w:t>4、“三线一单”相符性分析</w:t>
            </w:r>
          </w:p>
          <w:p>
            <w:pPr>
              <w:autoSpaceDE w:val="0"/>
              <w:autoSpaceDN w:val="0"/>
              <w:adjustRightInd w:val="0"/>
              <w:spacing w:line="360" w:lineRule="auto"/>
              <w:ind w:firstLine="480" w:firstLineChars="200"/>
              <w:rPr>
                <w:rFonts w:cs="宋体"/>
                <w:kern w:val="0"/>
                <w:sz w:val="24"/>
                <w:szCs w:val="24"/>
              </w:rPr>
            </w:pPr>
            <w:r>
              <w:rPr>
                <w:rFonts w:hint="eastAsia" w:cs="宋体"/>
                <w:kern w:val="0"/>
                <w:sz w:val="24"/>
                <w:szCs w:val="24"/>
              </w:rPr>
              <w:t>（1）生态保护规划</w:t>
            </w:r>
          </w:p>
          <w:p>
            <w:pPr>
              <w:pStyle w:val="123"/>
              <w:numPr>
                <w:ilvl w:val="0"/>
                <w:numId w:val="3"/>
              </w:numPr>
              <w:autoSpaceDE w:val="0"/>
              <w:autoSpaceDN w:val="0"/>
              <w:adjustRightInd w:val="0"/>
              <w:spacing w:line="360" w:lineRule="auto"/>
              <w:ind w:left="0" w:firstLine="480"/>
              <w:rPr>
                <w:rFonts w:cs="宋体"/>
                <w:kern w:val="0"/>
                <w:sz w:val="24"/>
                <w:szCs w:val="24"/>
              </w:rPr>
            </w:pPr>
            <w:r>
              <w:rPr>
                <w:rFonts w:hint="eastAsia" w:ascii="宋体" w:hAnsi="宋体" w:cs="宋体"/>
                <w:kern w:val="0"/>
                <w:sz w:val="24"/>
                <w:szCs w:val="24"/>
              </w:rPr>
              <w:t>江苏省生态红线区域保护规划</w:t>
            </w:r>
          </w:p>
          <w:p>
            <w:pPr>
              <w:autoSpaceDE w:val="0"/>
              <w:autoSpaceDN w:val="0"/>
              <w:adjustRightInd w:val="0"/>
              <w:spacing w:line="360" w:lineRule="auto"/>
              <w:ind w:firstLine="480" w:firstLineChars="200"/>
              <w:rPr>
                <w:rFonts w:cs="宋体"/>
                <w:kern w:val="0"/>
                <w:sz w:val="24"/>
                <w:szCs w:val="24"/>
              </w:rPr>
            </w:pPr>
            <w:r>
              <w:rPr>
                <w:rFonts w:hint="eastAsia" w:cs="宋体"/>
                <w:kern w:val="0"/>
                <w:sz w:val="24"/>
                <w:szCs w:val="24"/>
              </w:rPr>
              <w:t>《江苏省生态红线区域保护规划》将江苏省具有重要生态服务功能的区域分为自然保护区、风景名胜区、森林公园、湿地公园、地质遗迹保护区（公园）、饮用水源保护区、海洋特别保护区、洪水调蓄区、重要水源涵养区、重要渔业水域、重要湿地、清水通道维护区、生态公益林、太湖重要保护区、特殊物种保护区等</w:t>
            </w:r>
            <w:r>
              <w:rPr>
                <w:rFonts w:cs="TimesNewRomanPSMT"/>
                <w:kern w:val="0"/>
                <w:sz w:val="24"/>
                <w:szCs w:val="24"/>
              </w:rPr>
              <w:t xml:space="preserve">15 </w:t>
            </w:r>
            <w:r>
              <w:rPr>
                <w:rFonts w:hint="eastAsia" w:cs="宋体"/>
                <w:kern w:val="0"/>
                <w:sz w:val="24"/>
                <w:szCs w:val="24"/>
              </w:rPr>
              <w:t>种类型。对照沭阳县生态红线布局图（见附图</w:t>
            </w:r>
            <w:r>
              <w:rPr>
                <w:rFonts w:cs="TimesNewRomanPSMT"/>
                <w:kern w:val="0"/>
                <w:sz w:val="24"/>
                <w:szCs w:val="24"/>
              </w:rPr>
              <w:t>4</w:t>
            </w:r>
            <w:r>
              <w:rPr>
                <w:rFonts w:hint="eastAsia" w:cs="宋体"/>
                <w:kern w:val="0"/>
                <w:sz w:val="24"/>
                <w:szCs w:val="24"/>
              </w:rPr>
              <w:t>），与本项目最近的生态红线区域主要为</w:t>
            </w:r>
            <w:r>
              <w:rPr>
                <w:rFonts w:hint="eastAsia"/>
                <w:sz w:val="24"/>
                <w:szCs w:val="24"/>
              </w:rPr>
              <w:t>新沂河（沭阳县）洪水调蓄区</w:t>
            </w:r>
            <w:r>
              <w:rPr>
                <w:rFonts w:hint="eastAsia" w:cs="宋体"/>
                <w:kern w:val="0"/>
                <w:sz w:val="24"/>
                <w:szCs w:val="24"/>
              </w:rPr>
              <w:t>。</w:t>
            </w:r>
            <w:r>
              <w:rPr>
                <w:rFonts w:hint="eastAsia"/>
                <w:sz w:val="24"/>
                <w:szCs w:val="24"/>
              </w:rPr>
              <w:t>新沂河（沭阳县）洪水调蓄区</w:t>
            </w:r>
            <w:r>
              <w:rPr>
                <w:rFonts w:hint="eastAsia" w:cs="宋体"/>
                <w:kern w:val="0"/>
                <w:sz w:val="24"/>
                <w:szCs w:val="24"/>
              </w:rPr>
              <w:t>区域保护见表</w:t>
            </w:r>
            <w:r>
              <w:rPr>
                <w:rFonts w:cs="TimesNewRomanPSMT"/>
                <w:kern w:val="0"/>
                <w:sz w:val="24"/>
                <w:szCs w:val="24"/>
              </w:rPr>
              <w:t>1-</w:t>
            </w:r>
            <w:r>
              <w:rPr>
                <w:rFonts w:hint="eastAsia" w:cs="TimesNewRomanPSMT"/>
                <w:kern w:val="0"/>
                <w:sz w:val="24"/>
                <w:szCs w:val="24"/>
              </w:rPr>
              <w:t>5</w:t>
            </w:r>
            <w:r>
              <w:rPr>
                <w:rFonts w:hint="eastAsia" w:cs="宋体"/>
                <w:kern w:val="0"/>
                <w:sz w:val="24"/>
                <w:szCs w:val="24"/>
              </w:rPr>
              <w:t>。</w:t>
            </w:r>
          </w:p>
          <w:p>
            <w:pPr>
              <w:autoSpaceDE w:val="0"/>
              <w:autoSpaceDN w:val="0"/>
              <w:adjustRightInd w:val="0"/>
              <w:jc w:val="center"/>
              <w:rPr>
                <w:rFonts w:ascii="宋体" w:cs="宋体"/>
                <w:b/>
                <w:kern w:val="0"/>
                <w:sz w:val="24"/>
                <w:szCs w:val="24"/>
              </w:rPr>
            </w:pPr>
            <w:r>
              <w:rPr>
                <w:rFonts w:hint="eastAsia" w:ascii="宋体" w:cs="宋体"/>
                <w:b/>
                <w:kern w:val="0"/>
                <w:sz w:val="24"/>
                <w:szCs w:val="24"/>
              </w:rPr>
              <w:t>表</w:t>
            </w:r>
            <w:r>
              <w:rPr>
                <w:b/>
                <w:kern w:val="0"/>
                <w:sz w:val="24"/>
                <w:szCs w:val="24"/>
              </w:rPr>
              <w:t>1-</w:t>
            </w:r>
            <w:r>
              <w:rPr>
                <w:rFonts w:hint="eastAsia"/>
                <w:b/>
                <w:kern w:val="0"/>
                <w:sz w:val="24"/>
                <w:szCs w:val="24"/>
              </w:rPr>
              <w:t xml:space="preserve">5  </w:t>
            </w:r>
            <w:r>
              <w:rPr>
                <w:rFonts w:hint="eastAsia"/>
                <w:b/>
                <w:sz w:val="24"/>
                <w:szCs w:val="24"/>
              </w:rPr>
              <w:t>新沂河（沭阳县）洪水调蓄区</w:t>
            </w:r>
            <w:r>
              <w:rPr>
                <w:rFonts w:hint="eastAsia" w:ascii="宋体" w:cs="宋体"/>
                <w:b/>
                <w:kern w:val="0"/>
                <w:sz w:val="24"/>
                <w:szCs w:val="24"/>
              </w:rPr>
              <w:t>区域保护表</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1717"/>
              <w:gridCol w:w="1559"/>
              <w:gridCol w:w="1844"/>
              <w:gridCol w:w="692"/>
              <w:gridCol w:w="17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0" w:type="pct"/>
                  <w:tcBorders>
                    <w:top w:val="single" w:color="auto" w:sz="12" w:space="0"/>
                    <w:left w:val="nil"/>
                    <w:bottom w:val="single" w:color="auto" w:sz="4" w:space="0"/>
                    <w:right w:val="single" w:color="auto" w:sz="4" w:space="0"/>
                  </w:tcBorders>
                  <w:vAlign w:val="center"/>
                </w:tcPr>
                <w:p>
                  <w:pPr>
                    <w:widowControl/>
                    <w:jc w:val="center"/>
                    <w:rPr>
                      <w:b/>
                      <w:kern w:val="0"/>
                      <w:szCs w:val="21"/>
                    </w:rPr>
                  </w:pPr>
                  <w:r>
                    <w:rPr>
                      <w:rFonts w:hint="eastAsia"/>
                      <w:b/>
                      <w:kern w:val="0"/>
                      <w:szCs w:val="21"/>
                    </w:rPr>
                    <w:t>地区</w:t>
                  </w:r>
                </w:p>
              </w:tc>
              <w:tc>
                <w:tcPr>
                  <w:tcW w:w="1040" w:type="pct"/>
                  <w:tcBorders>
                    <w:top w:val="single" w:color="auto" w:sz="12" w:space="0"/>
                    <w:left w:val="single" w:color="auto" w:sz="4" w:space="0"/>
                    <w:bottom w:val="single" w:color="auto" w:sz="4" w:space="0"/>
                    <w:right w:val="single" w:color="auto" w:sz="4" w:space="0"/>
                  </w:tcBorders>
                  <w:vAlign w:val="center"/>
                </w:tcPr>
                <w:p>
                  <w:pPr>
                    <w:widowControl/>
                    <w:jc w:val="center"/>
                    <w:rPr>
                      <w:b/>
                      <w:kern w:val="0"/>
                      <w:szCs w:val="21"/>
                    </w:rPr>
                  </w:pPr>
                  <w:r>
                    <w:rPr>
                      <w:rFonts w:hint="eastAsia"/>
                      <w:b/>
                      <w:kern w:val="0"/>
                      <w:szCs w:val="21"/>
                    </w:rPr>
                    <w:t>名称</w:t>
                  </w:r>
                </w:p>
              </w:tc>
              <w:tc>
                <w:tcPr>
                  <w:tcW w:w="944" w:type="pct"/>
                  <w:tcBorders>
                    <w:top w:val="single" w:color="auto" w:sz="12" w:space="0"/>
                    <w:left w:val="single" w:color="auto" w:sz="4" w:space="0"/>
                    <w:bottom w:val="single" w:color="auto" w:sz="4" w:space="0"/>
                    <w:right w:val="single" w:color="auto" w:sz="4" w:space="0"/>
                  </w:tcBorders>
                  <w:vAlign w:val="center"/>
                </w:tcPr>
                <w:p>
                  <w:pPr>
                    <w:widowControl/>
                    <w:jc w:val="center"/>
                    <w:rPr>
                      <w:b/>
                      <w:kern w:val="0"/>
                      <w:szCs w:val="21"/>
                    </w:rPr>
                  </w:pPr>
                  <w:r>
                    <w:rPr>
                      <w:rFonts w:hint="eastAsia"/>
                      <w:b/>
                      <w:kern w:val="0"/>
                      <w:szCs w:val="21"/>
                    </w:rPr>
                    <w:t>主导生态功能</w:t>
                  </w:r>
                </w:p>
              </w:tc>
              <w:tc>
                <w:tcPr>
                  <w:tcW w:w="1117" w:type="pct"/>
                  <w:tcBorders>
                    <w:top w:val="single" w:color="auto" w:sz="12" w:space="0"/>
                    <w:left w:val="single" w:color="auto" w:sz="4" w:space="0"/>
                    <w:bottom w:val="single" w:color="auto" w:sz="4" w:space="0"/>
                    <w:right w:val="single" w:color="auto" w:sz="4" w:space="0"/>
                  </w:tcBorders>
                  <w:vAlign w:val="center"/>
                </w:tcPr>
                <w:p>
                  <w:pPr>
                    <w:widowControl/>
                    <w:jc w:val="center"/>
                    <w:rPr>
                      <w:b/>
                      <w:kern w:val="0"/>
                      <w:szCs w:val="21"/>
                    </w:rPr>
                  </w:pPr>
                  <w:r>
                    <w:rPr>
                      <w:rFonts w:hint="eastAsia"/>
                      <w:b/>
                      <w:kern w:val="0"/>
                      <w:szCs w:val="21"/>
                    </w:rPr>
                    <w:t>范围</w:t>
                  </w:r>
                </w:p>
              </w:tc>
              <w:tc>
                <w:tcPr>
                  <w:tcW w:w="419" w:type="pct"/>
                  <w:tcBorders>
                    <w:top w:val="single" w:color="auto" w:sz="12" w:space="0"/>
                    <w:left w:val="single" w:color="auto" w:sz="4" w:space="0"/>
                    <w:bottom w:val="single" w:color="auto" w:sz="4" w:space="0"/>
                    <w:right w:val="single" w:color="auto" w:sz="4" w:space="0"/>
                  </w:tcBorders>
                  <w:vAlign w:val="center"/>
                </w:tcPr>
                <w:p>
                  <w:pPr>
                    <w:widowControl/>
                    <w:ind w:left="-105" w:leftChars="-50" w:right="-105" w:rightChars="-50"/>
                    <w:jc w:val="center"/>
                    <w:rPr>
                      <w:b/>
                      <w:kern w:val="0"/>
                      <w:szCs w:val="21"/>
                    </w:rPr>
                  </w:pPr>
                  <w:r>
                    <w:rPr>
                      <w:rFonts w:hint="eastAsia"/>
                      <w:b/>
                      <w:kern w:val="0"/>
                      <w:szCs w:val="21"/>
                    </w:rPr>
                    <w:t>方位</w:t>
                  </w:r>
                </w:p>
              </w:tc>
              <w:tc>
                <w:tcPr>
                  <w:tcW w:w="1060" w:type="pct"/>
                  <w:tcBorders>
                    <w:top w:val="single" w:color="auto" w:sz="12" w:space="0"/>
                    <w:left w:val="single" w:color="auto" w:sz="4" w:space="0"/>
                    <w:bottom w:val="single" w:color="auto" w:sz="4" w:space="0"/>
                    <w:right w:val="nil"/>
                  </w:tcBorders>
                  <w:vAlign w:val="center"/>
                </w:tcPr>
                <w:p>
                  <w:pPr>
                    <w:widowControl/>
                    <w:ind w:left="-105" w:leftChars="-50" w:right="-105" w:rightChars="-50"/>
                    <w:jc w:val="center"/>
                    <w:rPr>
                      <w:b/>
                      <w:kern w:val="0"/>
                      <w:szCs w:val="21"/>
                    </w:rPr>
                  </w:pPr>
                  <w:r>
                    <w:rPr>
                      <w:rFonts w:hint="eastAsia"/>
                      <w:b/>
                      <w:kern w:val="0"/>
                      <w:szCs w:val="21"/>
                    </w:rPr>
                    <w:t>与本项目最近距离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420" w:type="pct"/>
                  <w:tcBorders>
                    <w:top w:val="single" w:color="auto" w:sz="4" w:space="0"/>
                    <w:left w:val="nil"/>
                    <w:bottom w:val="single" w:color="auto" w:sz="12" w:space="0"/>
                    <w:right w:val="single" w:color="auto" w:sz="4" w:space="0"/>
                  </w:tcBorders>
                  <w:vAlign w:val="center"/>
                </w:tcPr>
                <w:p>
                  <w:pPr>
                    <w:widowControl/>
                    <w:jc w:val="center"/>
                    <w:rPr>
                      <w:kern w:val="0"/>
                      <w:szCs w:val="21"/>
                    </w:rPr>
                  </w:pPr>
                  <w:r>
                    <w:rPr>
                      <w:rFonts w:hint="eastAsia"/>
                      <w:kern w:val="0"/>
                      <w:szCs w:val="21"/>
                    </w:rPr>
                    <w:t>沭阳县</w:t>
                  </w:r>
                </w:p>
              </w:tc>
              <w:tc>
                <w:tcPr>
                  <w:tcW w:w="1040" w:type="pct"/>
                  <w:tcBorders>
                    <w:top w:val="single" w:color="auto" w:sz="4" w:space="0"/>
                    <w:left w:val="single" w:color="auto" w:sz="4" w:space="0"/>
                    <w:bottom w:val="single" w:color="auto" w:sz="12" w:space="0"/>
                    <w:right w:val="single" w:color="auto" w:sz="4" w:space="0"/>
                  </w:tcBorders>
                  <w:vAlign w:val="center"/>
                </w:tcPr>
                <w:p>
                  <w:pPr>
                    <w:widowControl/>
                    <w:spacing w:line="268" w:lineRule="auto"/>
                    <w:jc w:val="center"/>
                    <w:rPr>
                      <w:szCs w:val="21"/>
                    </w:rPr>
                  </w:pPr>
                  <w:r>
                    <w:rPr>
                      <w:rFonts w:hint="eastAsia"/>
                      <w:szCs w:val="21"/>
                    </w:rPr>
                    <w:t>新沂河（沭阳县）洪水调蓄区</w:t>
                  </w:r>
                </w:p>
              </w:tc>
              <w:tc>
                <w:tcPr>
                  <w:tcW w:w="944" w:type="pct"/>
                  <w:tcBorders>
                    <w:top w:val="single" w:color="auto" w:sz="4" w:space="0"/>
                    <w:left w:val="single" w:color="auto" w:sz="4" w:space="0"/>
                    <w:bottom w:val="single" w:color="auto" w:sz="12" w:space="0"/>
                    <w:right w:val="single" w:color="auto" w:sz="4" w:space="0"/>
                  </w:tcBorders>
                  <w:vAlign w:val="center"/>
                </w:tcPr>
                <w:p>
                  <w:pPr>
                    <w:widowControl/>
                    <w:spacing w:line="268" w:lineRule="auto"/>
                    <w:jc w:val="center"/>
                    <w:rPr>
                      <w:szCs w:val="21"/>
                    </w:rPr>
                  </w:pPr>
                  <w:r>
                    <w:rPr>
                      <w:rFonts w:hint="eastAsia"/>
                      <w:szCs w:val="21"/>
                    </w:rPr>
                    <w:t>洪水调蓄</w:t>
                  </w:r>
                </w:p>
              </w:tc>
              <w:tc>
                <w:tcPr>
                  <w:tcW w:w="1117" w:type="pct"/>
                  <w:tcBorders>
                    <w:top w:val="single" w:color="auto" w:sz="4" w:space="0"/>
                    <w:left w:val="single" w:color="auto" w:sz="4" w:space="0"/>
                    <w:bottom w:val="single" w:color="auto" w:sz="12" w:space="0"/>
                    <w:right w:val="single" w:color="auto" w:sz="4" w:space="0"/>
                  </w:tcBorders>
                  <w:vAlign w:val="center"/>
                </w:tcPr>
                <w:p>
                  <w:pPr>
                    <w:widowControl/>
                    <w:spacing w:line="360" w:lineRule="exact"/>
                    <w:jc w:val="center"/>
                    <w:rPr>
                      <w:szCs w:val="21"/>
                    </w:rPr>
                  </w:pPr>
                  <w:r>
                    <w:rPr>
                      <w:rFonts w:hint="eastAsia" w:hAnsi="宋体" w:cs="宋体"/>
                      <w:szCs w:val="21"/>
                    </w:rPr>
                    <w:t>新沂河两岸河堤之间的范围</w:t>
                  </w:r>
                </w:p>
              </w:tc>
              <w:tc>
                <w:tcPr>
                  <w:tcW w:w="419" w:type="pct"/>
                  <w:tcBorders>
                    <w:top w:val="single" w:color="auto" w:sz="4" w:space="0"/>
                    <w:left w:val="single" w:color="auto" w:sz="4" w:space="0"/>
                    <w:bottom w:val="single" w:color="auto" w:sz="12" w:space="0"/>
                    <w:right w:val="single" w:color="auto" w:sz="4" w:space="0"/>
                  </w:tcBorders>
                  <w:vAlign w:val="center"/>
                </w:tcPr>
                <w:p>
                  <w:pPr>
                    <w:widowControl/>
                    <w:spacing w:line="360" w:lineRule="exact"/>
                    <w:jc w:val="center"/>
                    <w:rPr>
                      <w:szCs w:val="21"/>
                    </w:rPr>
                  </w:pPr>
                  <w:r>
                    <w:rPr>
                      <w:rFonts w:hint="eastAsia"/>
                      <w:szCs w:val="21"/>
                    </w:rPr>
                    <w:t>S</w:t>
                  </w:r>
                </w:p>
              </w:tc>
              <w:tc>
                <w:tcPr>
                  <w:tcW w:w="1060" w:type="pct"/>
                  <w:tcBorders>
                    <w:top w:val="single" w:color="auto" w:sz="4" w:space="0"/>
                    <w:left w:val="single" w:color="auto" w:sz="4" w:space="0"/>
                    <w:bottom w:val="single" w:color="auto" w:sz="12" w:space="0"/>
                    <w:right w:val="nil"/>
                  </w:tcBorders>
                  <w:vAlign w:val="center"/>
                </w:tcPr>
                <w:p>
                  <w:pPr>
                    <w:widowControl/>
                    <w:spacing w:line="360" w:lineRule="exact"/>
                    <w:jc w:val="center"/>
                    <w:rPr>
                      <w:szCs w:val="21"/>
                    </w:rPr>
                  </w:pPr>
                  <w:r>
                    <w:rPr>
                      <w:rFonts w:hint="eastAsia"/>
                      <w:szCs w:val="21"/>
                    </w:rPr>
                    <w:t>5</w:t>
                  </w:r>
                  <w:r>
                    <w:rPr>
                      <w:szCs w:val="21"/>
                    </w:rPr>
                    <w:t>km</w:t>
                  </w:r>
                </w:p>
              </w:tc>
            </w:tr>
          </w:tbl>
          <w:p>
            <w:pPr>
              <w:autoSpaceDE w:val="0"/>
              <w:autoSpaceDN w:val="0"/>
              <w:adjustRightInd w:val="0"/>
              <w:spacing w:beforeLines="50" w:line="360" w:lineRule="auto"/>
              <w:ind w:firstLine="480" w:firstLineChars="200"/>
              <w:rPr>
                <w:rFonts w:cs="宋体"/>
                <w:kern w:val="0"/>
                <w:sz w:val="24"/>
                <w:szCs w:val="24"/>
              </w:rPr>
            </w:pPr>
            <w:r>
              <w:rPr>
                <w:rFonts w:hint="eastAsia" w:cs="宋体"/>
                <w:kern w:val="0"/>
                <w:sz w:val="24"/>
                <w:szCs w:val="24"/>
              </w:rPr>
              <w:t>与本项目最近的生态红线区域为</w:t>
            </w:r>
            <w:r>
              <w:rPr>
                <w:rFonts w:hint="eastAsia"/>
                <w:sz w:val="24"/>
                <w:szCs w:val="24"/>
              </w:rPr>
              <w:t>新沂河（沭阳县）洪水调蓄区</w:t>
            </w:r>
            <w:r>
              <w:rPr>
                <w:rFonts w:hint="eastAsia" w:cs="宋体"/>
                <w:kern w:val="0"/>
                <w:sz w:val="24"/>
                <w:szCs w:val="24"/>
              </w:rPr>
              <w:t>，距离约</w:t>
            </w:r>
            <w:r>
              <w:rPr>
                <w:rFonts w:hint="eastAsia" w:cs="TimesNewRomanPSMT"/>
                <w:kern w:val="0"/>
                <w:sz w:val="24"/>
                <w:szCs w:val="24"/>
              </w:rPr>
              <w:t>5000</w:t>
            </w:r>
            <w:r>
              <w:rPr>
                <w:rFonts w:cs="TimesNewRomanPSMT"/>
                <w:kern w:val="0"/>
                <w:sz w:val="24"/>
                <w:szCs w:val="24"/>
              </w:rPr>
              <w:t>m</w:t>
            </w:r>
            <w:r>
              <w:rPr>
                <w:rFonts w:hint="eastAsia" w:cs="宋体"/>
                <w:kern w:val="0"/>
                <w:sz w:val="24"/>
                <w:szCs w:val="24"/>
              </w:rPr>
              <w:t>，由上表可知本项目与以上红线区域一、二级管控区无相交区域，因此，本项目的建设不违背《江苏省生态红线区域保护规划》要求。</w:t>
            </w:r>
          </w:p>
          <w:p>
            <w:pPr>
              <w:pStyle w:val="123"/>
              <w:numPr>
                <w:ilvl w:val="0"/>
                <w:numId w:val="3"/>
              </w:numPr>
              <w:spacing w:line="360" w:lineRule="auto"/>
              <w:ind w:left="0" w:firstLine="480"/>
              <w:rPr>
                <w:rFonts w:cs="宋体"/>
                <w:sz w:val="24"/>
                <w:szCs w:val="24"/>
              </w:rPr>
            </w:pPr>
            <w:r>
              <w:rPr>
                <w:rFonts w:hint="eastAsia"/>
                <w:sz w:val="24"/>
              </w:rPr>
              <w:t>江苏省国家级生态保护红线规划</w:t>
            </w:r>
          </w:p>
          <w:p>
            <w:pPr>
              <w:spacing w:line="360" w:lineRule="auto"/>
              <w:ind w:firstLine="480" w:firstLineChars="200"/>
              <w:rPr>
                <w:sz w:val="24"/>
                <w:szCs w:val="21"/>
              </w:rPr>
            </w:pPr>
            <w:r>
              <w:rPr>
                <w:rFonts w:hint="eastAsia"/>
                <w:sz w:val="24"/>
              </w:rPr>
              <w:t>《江苏省国家级生态保护红线规划》将江苏省具有重要生态服务功能的区域根据陆域和海域划分为两部分，其中陆域生态保护红线分为自然保护区、森林公园的生态保育区和核心景观区、风景名胜区的一级保护区（核心景区）、地质公园的地质遗迹保护区、湿地公园的湿地保育区和恢复重建区、饮用水水源地保护区、水产种质资源保护区的核心区、重要湖泊湿地的核心保护区域，海域生态保护红线分为自然保护区、海洋特别保护区、重要河口生态系统、重要滨海湿地、重要渔业海域、特殊保护海岛、重要滨海旅游区、重要砂质岸线及邻近海域，沭阳县范围内的生态保护区见表</w:t>
            </w:r>
            <w:r>
              <w:rPr>
                <w:sz w:val="24"/>
              </w:rPr>
              <w:t>1-</w:t>
            </w:r>
            <w:r>
              <w:rPr>
                <w:rFonts w:hint="eastAsia"/>
                <w:sz w:val="24"/>
              </w:rPr>
              <w:t>6。</w:t>
            </w:r>
          </w:p>
          <w:p>
            <w:pPr>
              <w:jc w:val="center"/>
              <w:rPr>
                <w:sz w:val="24"/>
              </w:rPr>
            </w:pPr>
            <w:r>
              <w:rPr>
                <w:rFonts w:hint="eastAsia"/>
                <w:b/>
                <w:sz w:val="24"/>
              </w:rPr>
              <w:t>表</w:t>
            </w:r>
            <w:r>
              <w:rPr>
                <w:b/>
                <w:sz w:val="24"/>
              </w:rPr>
              <w:t>1-</w:t>
            </w:r>
            <w:r>
              <w:rPr>
                <w:rFonts w:hint="eastAsia"/>
                <w:b/>
                <w:sz w:val="24"/>
              </w:rPr>
              <w:t>6  江苏省陆域生态保护红线区域名录</w:t>
            </w:r>
          </w:p>
          <w:tbl>
            <w:tblPr>
              <w:tblStyle w:val="33"/>
              <w:tblW w:w="5000" w:type="pct"/>
              <w:tblInd w:w="0" w:type="dxa"/>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Layout w:type="autofit"/>
              <w:tblCellMar>
                <w:top w:w="0" w:type="dxa"/>
                <w:left w:w="108" w:type="dxa"/>
                <w:bottom w:w="0" w:type="dxa"/>
                <w:right w:w="108" w:type="dxa"/>
              </w:tblCellMar>
            </w:tblPr>
            <w:tblGrid>
              <w:gridCol w:w="850"/>
              <w:gridCol w:w="852"/>
              <w:gridCol w:w="1276"/>
              <w:gridCol w:w="992"/>
              <w:gridCol w:w="2976"/>
              <w:gridCol w:w="1310"/>
            </w:tblGrid>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219" w:hRule="atLeast"/>
              </w:trPr>
              <w:tc>
                <w:tcPr>
                  <w:tcW w:w="1031" w:type="pct"/>
                  <w:gridSpan w:val="2"/>
                  <w:vAlign w:val="center"/>
                </w:tcPr>
                <w:p>
                  <w:pPr>
                    <w:adjustRightInd w:val="0"/>
                    <w:snapToGrid w:val="0"/>
                    <w:jc w:val="center"/>
                    <w:rPr>
                      <w:b/>
                      <w:kern w:val="0"/>
                      <w:szCs w:val="24"/>
                    </w:rPr>
                  </w:pPr>
                  <w:r>
                    <w:rPr>
                      <w:rFonts w:hint="eastAsia"/>
                      <w:b/>
                      <w:kern w:val="0"/>
                    </w:rPr>
                    <w:t>所在行政区域</w:t>
                  </w:r>
                </w:p>
              </w:tc>
              <w:tc>
                <w:tcPr>
                  <w:tcW w:w="773" w:type="pct"/>
                  <w:vMerge w:val="restart"/>
                  <w:vAlign w:val="center"/>
                </w:tcPr>
                <w:p>
                  <w:pPr>
                    <w:adjustRightInd w:val="0"/>
                    <w:snapToGrid w:val="0"/>
                    <w:jc w:val="center"/>
                    <w:rPr>
                      <w:b/>
                      <w:kern w:val="0"/>
                      <w:szCs w:val="24"/>
                    </w:rPr>
                  </w:pPr>
                  <w:r>
                    <w:rPr>
                      <w:rFonts w:hint="eastAsia"/>
                      <w:b/>
                      <w:kern w:val="0"/>
                    </w:rPr>
                    <w:t>生态保护红线名称</w:t>
                  </w:r>
                </w:p>
              </w:tc>
              <w:tc>
                <w:tcPr>
                  <w:tcW w:w="601" w:type="pct"/>
                  <w:vMerge w:val="restart"/>
                  <w:vAlign w:val="center"/>
                </w:tcPr>
                <w:p>
                  <w:pPr>
                    <w:adjustRightInd w:val="0"/>
                    <w:snapToGrid w:val="0"/>
                    <w:jc w:val="center"/>
                    <w:rPr>
                      <w:b/>
                      <w:kern w:val="0"/>
                      <w:szCs w:val="24"/>
                    </w:rPr>
                  </w:pPr>
                  <w:r>
                    <w:rPr>
                      <w:rFonts w:hint="eastAsia"/>
                      <w:b/>
                      <w:kern w:val="0"/>
                    </w:rPr>
                    <w:t>类型</w:t>
                  </w:r>
                </w:p>
              </w:tc>
              <w:tc>
                <w:tcPr>
                  <w:tcW w:w="1802" w:type="pct"/>
                  <w:vMerge w:val="restart"/>
                  <w:vAlign w:val="center"/>
                </w:tcPr>
                <w:p>
                  <w:pPr>
                    <w:adjustRightInd w:val="0"/>
                    <w:snapToGrid w:val="0"/>
                    <w:jc w:val="center"/>
                    <w:rPr>
                      <w:b/>
                      <w:kern w:val="0"/>
                      <w:szCs w:val="24"/>
                    </w:rPr>
                  </w:pPr>
                  <w:r>
                    <w:rPr>
                      <w:rFonts w:hint="eastAsia"/>
                      <w:b/>
                      <w:kern w:val="0"/>
                    </w:rPr>
                    <w:t>地理位置</w:t>
                  </w:r>
                </w:p>
              </w:tc>
              <w:tc>
                <w:tcPr>
                  <w:tcW w:w="793" w:type="pct"/>
                  <w:vMerge w:val="restart"/>
                  <w:vAlign w:val="center"/>
                </w:tcPr>
                <w:p>
                  <w:pPr>
                    <w:adjustRightInd w:val="0"/>
                    <w:snapToGrid w:val="0"/>
                    <w:jc w:val="center"/>
                    <w:rPr>
                      <w:b/>
                      <w:kern w:val="0"/>
                      <w:szCs w:val="24"/>
                    </w:rPr>
                  </w:pPr>
                  <w:r>
                    <w:rPr>
                      <w:rFonts w:hint="eastAsia"/>
                      <w:b/>
                      <w:kern w:val="0"/>
                    </w:rPr>
                    <w:t>区域面积（平方公里）</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347" w:hRule="atLeast"/>
              </w:trPr>
              <w:tc>
                <w:tcPr>
                  <w:tcW w:w="515" w:type="pct"/>
                  <w:vAlign w:val="center"/>
                </w:tcPr>
                <w:p>
                  <w:pPr>
                    <w:adjustRightInd w:val="0"/>
                    <w:snapToGrid w:val="0"/>
                    <w:jc w:val="center"/>
                    <w:rPr>
                      <w:b/>
                      <w:kern w:val="0"/>
                      <w:szCs w:val="24"/>
                    </w:rPr>
                  </w:pPr>
                  <w:r>
                    <w:rPr>
                      <w:rFonts w:hint="eastAsia"/>
                      <w:b/>
                      <w:kern w:val="0"/>
                    </w:rPr>
                    <w:t>市级</w:t>
                  </w:r>
                </w:p>
              </w:tc>
              <w:tc>
                <w:tcPr>
                  <w:tcW w:w="515" w:type="pct"/>
                  <w:vAlign w:val="center"/>
                </w:tcPr>
                <w:p>
                  <w:pPr>
                    <w:adjustRightInd w:val="0"/>
                    <w:snapToGrid w:val="0"/>
                    <w:jc w:val="center"/>
                    <w:rPr>
                      <w:b/>
                      <w:kern w:val="0"/>
                      <w:szCs w:val="24"/>
                    </w:rPr>
                  </w:pPr>
                  <w:r>
                    <w:rPr>
                      <w:rFonts w:hint="eastAsia"/>
                      <w:b/>
                      <w:kern w:val="0"/>
                    </w:rPr>
                    <w:t>县级</w:t>
                  </w:r>
                </w:p>
              </w:tc>
              <w:tc>
                <w:tcPr>
                  <w:tcW w:w="773" w:type="pct"/>
                  <w:vMerge w:val="continue"/>
                  <w:vAlign w:val="center"/>
                </w:tcPr>
                <w:p>
                  <w:pPr>
                    <w:widowControl/>
                    <w:adjustRightInd w:val="0"/>
                    <w:snapToGrid w:val="0"/>
                    <w:jc w:val="center"/>
                    <w:rPr>
                      <w:kern w:val="0"/>
                      <w:szCs w:val="24"/>
                    </w:rPr>
                  </w:pPr>
                </w:p>
              </w:tc>
              <w:tc>
                <w:tcPr>
                  <w:tcW w:w="601" w:type="pct"/>
                  <w:vMerge w:val="continue"/>
                  <w:vAlign w:val="center"/>
                </w:tcPr>
                <w:p>
                  <w:pPr>
                    <w:widowControl/>
                    <w:adjustRightInd w:val="0"/>
                    <w:snapToGrid w:val="0"/>
                    <w:jc w:val="center"/>
                    <w:rPr>
                      <w:kern w:val="0"/>
                      <w:szCs w:val="24"/>
                    </w:rPr>
                  </w:pPr>
                </w:p>
              </w:tc>
              <w:tc>
                <w:tcPr>
                  <w:tcW w:w="1802" w:type="pct"/>
                  <w:vMerge w:val="continue"/>
                  <w:vAlign w:val="center"/>
                </w:tcPr>
                <w:p>
                  <w:pPr>
                    <w:widowControl/>
                    <w:adjustRightInd w:val="0"/>
                    <w:snapToGrid w:val="0"/>
                    <w:jc w:val="center"/>
                    <w:rPr>
                      <w:kern w:val="0"/>
                      <w:szCs w:val="24"/>
                    </w:rPr>
                  </w:pPr>
                </w:p>
              </w:tc>
              <w:tc>
                <w:tcPr>
                  <w:tcW w:w="793" w:type="pct"/>
                  <w:vMerge w:val="continue"/>
                  <w:vAlign w:val="center"/>
                </w:tcPr>
                <w:p>
                  <w:pPr>
                    <w:widowControl/>
                    <w:adjustRightInd w:val="0"/>
                    <w:snapToGrid w:val="0"/>
                    <w:jc w:val="center"/>
                    <w:rPr>
                      <w:kern w:val="0"/>
                      <w:szCs w:val="24"/>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c>
                <w:tcPr>
                  <w:tcW w:w="515" w:type="pct"/>
                  <w:vAlign w:val="center"/>
                </w:tcPr>
                <w:p>
                  <w:pPr>
                    <w:adjustRightInd w:val="0"/>
                    <w:snapToGrid w:val="0"/>
                    <w:jc w:val="center"/>
                    <w:rPr>
                      <w:kern w:val="0"/>
                      <w:szCs w:val="24"/>
                    </w:rPr>
                  </w:pPr>
                  <w:r>
                    <w:rPr>
                      <w:rFonts w:hint="eastAsia"/>
                      <w:kern w:val="0"/>
                    </w:rPr>
                    <w:t>宿迁市</w:t>
                  </w:r>
                </w:p>
              </w:tc>
              <w:tc>
                <w:tcPr>
                  <w:tcW w:w="515" w:type="pct"/>
                  <w:vAlign w:val="center"/>
                </w:tcPr>
                <w:p>
                  <w:pPr>
                    <w:adjustRightInd w:val="0"/>
                    <w:snapToGrid w:val="0"/>
                    <w:jc w:val="center"/>
                    <w:rPr>
                      <w:kern w:val="0"/>
                      <w:szCs w:val="24"/>
                    </w:rPr>
                  </w:pPr>
                  <w:r>
                    <w:rPr>
                      <w:rFonts w:hint="eastAsia"/>
                      <w:kern w:val="0"/>
                    </w:rPr>
                    <w:t>沭阳县</w:t>
                  </w:r>
                </w:p>
              </w:tc>
              <w:tc>
                <w:tcPr>
                  <w:tcW w:w="773" w:type="pct"/>
                  <w:vAlign w:val="center"/>
                </w:tcPr>
                <w:p>
                  <w:pPr>
                    <w:autoSpaceDE w:val="0"/>
                    <w:autoSpaceDN w:val="0"/>
                    <w:adjustRightInd w:val="0"/>
                    <w:snapToGrid w:val="0"/>
                    <w:jc w:val="center"/>
                    <w:rPr>
                      <w:rFonts w:cs="宋体"/>
                      <w:kern w:val="0"/>
                      <w:szCs w:val="24"/>
                    </w:rPr>
                  </w:pPr>
                  <w:r>
                    <w:rPr>
                      <w:rFonts w:hint="eastAsia" w:cs="宋体"/>
                      <w:kern w:val="0"/>
                      <w:szCs w:val="24"/>
                    </w:rPr>
                    <w:t>淮沭河第一饮用水水源保护区</w:t>
                  </w:r>
                </w:p>
              </w:tc>
              <w:tc>
                <w:tcPr>
                  <w:tcW w:w="601" w:type="pct"/>
                  <w:vAlign w:val="center"/>
                </w:tcPr>
                <w:p>
                  <w:pPr>
                    <w:autoSpaceDE w:val="0"/>
                    <w:autoSpaceDN w:val="0"/>
                    <w:adjustRightInd w:val="0"/>
                    <w:snapToGrid w:val="0"/>
                    <w:jc w:val="center"/>
                    <w:rPr>
                      <w:rFonts w:cs="宋体"/>
                      <w:kern w:val="0"/>
                      <w:szCs w:val="24"/>
                    </w:rPr>
                  </w:pPr>
                  <w:r>
                    <w:rPr>
                      <w:rFonts w:hint="eastAsia" w:cs="宋体"/>
                      <w:kern w:val="0"/>
                      <w:szCs w:val="24"/>
                    </w:rPr>
                    <w:t>饮用水水源保护区</w:t>
                  </w:r>
                </w:p>
              </w:tc>
              <w:tc>
                <w:tcPr>
                  <w:tcW w:w="1802" w:type="pct"/>
                  <w:vAlign w:val="center"/>
                </w:tcPr>
                <w:p>
                  <w:pPr>
                    <w:autoSpaceDE w:val="0"/>
                    <w:autoSpaceDN w:val="0"/>
                    <w:adjustRightInd w:val="0"/>
                    <w:snapToGrid w:val="0"/>
                    <w:rPr>
                      <w:rFonts w:cs="宋体"/>
                      <w:kern w:val="0"/>
                      <w:szCs w:val="24"/>
                    </w:rPr>
                  </w:pPr>
                  <w:r>
                    <w:rPr>
                      <w:rFonts w:hint="eastAsia" w:cs="宋体"/>
                      <w:kern w:val="0"/>
                      <w:szCs w:val="24"/>
                    </w:rPr>
                    <w:t>取水口坐标：</w:t>
                  </w:r>
                  <w:r>
                    <w:rPr>
                      <w:rFonts w:cs="TimesNewRomanPSMT"/>
                      <w:kern w:val="0"/>
                      <w:szCs w:val="24"/>
                    </w:rPr>
                    <w:t>118</w:t>
                  </w:r>
                  <w:r>
                    <w:rPr>
                      <w:rFonts w:hint="eastAsia" w:cs="TimesNewRomanPSMT"/>
                      <w:kern w:val="0"/>
                      <w:szCs w:val="24"/>
                    </w:rPr>
                    <w:t>°</w:t>
                  </w:r>
                  <w:r>
                    <w:rPr>
                      <w:rFonts w:cs="TimesNewRomanPSMT"/>
                      <w:kern w:val="0"/>
                      <w:szCs w:val="24"/>
                    </w:rPr>
                    <w:t>43</w:t>
                  </w:r>
                  <w:r>
                    <w:rPr>
                      <w:rFonts w:hint="eastAsia" w:cs="TimesNewRomanPSMT"/>
                      <w:kern w:val="0"/>
                      <w:szCs w:val="24"/>
                    </w:rPr>
                    <w:t>′</w:t>
                  </w:r>
                  <w:r>
                    <w:rPr>
                      <w:rFonts w:cs="TimesNewRomanPSMT"/>
                      <w:kern w:val="0"/>
                      <w:szCs w:val="24"/>
                    </w:rPr>
                    <w:t>39</w:t>
                  </w:r>
                  <w:r>
                    <w:rPr>
                      <w:rFonts w:hint="eastAsia" w:cs="TimesNewRomanPSMT"/>
                      <w:kern w:val="0"/>
                      <w:szCs w:val="24"/>
                    </w:rPr>
                    <w:t>″</w:t>
                  </w:r>
                  <w:r>
                    <w:rPr>
                      <w:rFonts w:hint="eastAsia" w:cs="宋体"/>
                      <w:kern w:val="0"/>
                      <w:szCs w:val="24"/>
                    </w:rPr>
                    <w:t>，</w:t>
                  </w:r>
                  <w:r>
                    <w:rPr>
                      <w:rFonts w:cs="TimesNewRomanPSMT"/>
                      <w:kern w:val="0"/>
                      <w:szCs w:val="24"/>
                    </w:rPr>
                    <w:t>34</w:t>
                  </w:r>
                  <w:r>
                    <w:rPr>
                      <w:rFonts w:hint="eastAsia" w:cs="TimesNewRomanPSMT"/>
                      <w:kern w:val="0"/>
                      <w:szCs w:val="24"/>
                    </w:rPr>
                    <w:t>°</w:t>
                  </w:r>
                  <w:r>
                    <w:rPr>
                      <w:rFonts w:cs="TimesNewRomanPSMT"/>
                      <w:kern w:val="0"/>
                      <w:szCs w:val="24"/>
                    </w:rPr>
                    <w:t>04</w:t>
                  </w:r>
                  <w:r>
                    <w:rPr>
                      <w:rFonts w:hint="eastAsia" w:cs="TimesNewRomanPSMT"/>
                      <w:kern w:val="0"/>
                      <w:szCs w:val="24"/>
                    </w:rPr>
                    <w:t>′</w:t>
                  </w:r>
                  <w:r>
                    <w:rPr>
                      <w:rFonts w:cs="TimesNewRomanPSMT"/>
                      <w:kern w:val="0"/>
                      <w:szCs w:val="24"/>
                    </w:rPr>
                    <w:t>21</w:t>
                  </w:r>
                  <w:r>
                    <w:rPr>
                      <w:rFonts w:hint="eastAsia" w:cs="TimesNewRomanPSMT"/>
                      <w:kern w:val="0"/>
                      <w:szCs w:val="24"/>
                    </w:rPr>
                    <w:t>″</w:t>
                  </w:r>
                  <w:r>
                    <w:rPr>
                      <w:rFonts w:hint="eastAsia" w:cs="宋体"/>
                      <w:kern w:val="0"/>
                      <w:szCs w:val="24"/>
                    </w:rPr>
                    <w:t>。</w:t>
                  </w:r>
                </w:p>
                <w:p>
                  <w:pPr>
                    <w:autoSpaceDE w:val="0"/>
                    <w:autoSpaceDN w:val="0"/>
                    <w:adjustRightInd w:val="0"/>
                    <w:snapToGrid w:val="0"/>
                    <w:rPr>
                      <w:rFonts w:cs="宋体"/>
                      <w:kern w:val="0"/>
                      <w:szCs w:val="24"/>
                    </w:rPr>
                  </w:pPr>
                  <w:r>
                    <w:rPr>
                      <w:rFonts w:hint="eastAsia" w:cs="宋体"/>
                      <w:kern w:val="0"/>
                      <w:szCs w:val="24"/>
                    </w:rPr>
                    <w:t>一级保护区：取水口上游</w:t>
                  </w:r>
                  <w:r>
                    <w:rPr>
                      <w:rFonts w:cs="TimesNewRomanPSMT"/>
                      <w:kern w:val="0"/>
                      <w:szCs w:val="24"/>
                    </w:rPr>
                    <w:t>1000</w:t>
                  </w:r>
                  <w:r>
                    <w:rPr>
                      <w:rFonts w:hint="eastAsia" w:cs="宋体"/>
                      <w:kern w:val="0"/>
                      <w:szCs w:val="24"/>
                    </w:rPr>
                    <w:t>米至下游</w:t>
                  </w:r>
                  <w:r>
                    <w:rPr>
                      <w:rFonts w:cs="TimesNewRomanPSMT"/>
                      <w:kern w:val="0"/>
                      <w:szCs w:val="24"/>
                    </w:rPr>
                    <w:t>1000</w:t>
                  </w:r>
                  <w:r>
                    <w:rPr>
                      <w:rFonts w:hint="eastAsia" w:cs="宋体"/>
                      <w:kern w:val="0"/>
                      <w:szCs w:val="24"/>
                    </w:rPr>
                    <w:t>米及其岸背水坡之间的水域范围和一级保护区水域相对应的两岸背水坡堤脚外</w:t>
                  </w:r>
                  <w:r>
                    <w:rPr>
                      <w:rFonts w:cs="TimesNewRomanPSMT"/>
                      <w:kern w:val="0"/>
                      <w:szCs w:val="24"/>
                    </w:rPr>
                    <w:t>100</w:t>
                  </w:r>
                  <w:r>
                    <w:rPr>
                      <w:rFonts w:hint="eastAsia" w:cs="宋体"/>
                      <w:kern w:val="0"/>
                      <w:szCs w:val="24"/>
                    </w:rPr>
                    <w:t>米之间的范围。</w:t>
                  </w:r>
                </w:p>
                <w:p>
                  <w:pPr>
                    <w:autoSpaceDE w:val="0"/>
                    <w:autoSpaceDN w:val="0"/>
                    <w:adjustRightInd w:val="0"/>
                    <w:snapToGrid w:val="0"/>
                    <w:rPr>
                      <w:rFonts w:cs="TimesNewRomanPSMT"/>
                      <w:kern w:val="0"/>
                      <w:szCs w:val="24"/>
                    </w:rPr>
                  </w:pPr>
                  <w:r>
                    <w:rPr>
                      <w:rFonts w:hint="eastAsia" w:cs="宋体"/>
                      <w:kern w:val="0"/>
                      <w:szCs w:val="24"/>
                    </w:rPr>
                    <w:t>二级保护区：一级保护区以外上溯</w:t>
                  </w:r>
                  <w:r>
                    <w:rPr>
                      <w:rFonts w:cs="TimesNewRomanPSMT"/>
                      <w:kern w:val="0"/>
                      <w:szCs w:val="24"/>
                    </w:rPr>
                    <w:t>2000</w:t>
                  </w:r>
                  <w:r>
                    <w:rPr>
                      <w:rFonts w:hint="eastAsia" w:cs="宋体"/>
                      <w:kern w:val="0"/>
                      <w:szCs w:val="24"/>
                    </w:rPr>
                    <w:t>米、下延</w:t>
                  </w:r>
                  <w:r>
                    <w:rPr>
                      <w:rFonts w:cs="TimesNewRomanPSMT"/>
                      <w:kern w:val="0"/>
                      <w:szCs w:val="24"/>
                    </w:rPr>
                    <w:t>500</w:t>
                  </w:r>
                  <w:r>
                    <w:rPr>
                      <w:rFonts w:hint="eastAsia" w:cs="宋体"/>
                      <w:kern w:val="0"/>
                      <w:szCs w:val="24"/>
                    </w:rPr>
                    <w:t>米的水域范围，以及二级保护区水域相对应的两岸背水坡堤角外</w:t>
                  </w:r>
                  <w:r>
                    <w:rPr>
                      <w:rFonts w:cs="TimesNewRomanPSMT"/>
                      <w:kern w:val="0"/>
                      <w:szCs w:val="24"/>
                    </w:rPr>
                    <w:t>100</w:t>
                  </w:r>
                  <w:r>
                    <w:rPr>
                      <w:rFonts w:hint="eastAsia" w:cs="宋体"/>
                      <w:kern w:val="0"/>
                      <w:szCs w:val="24"/>
                    </w:rPr>
                    <w:t>米之间的陆域范围。</w:t>
                  </w:r>
                </w:p>
                <w:p>
                  <w:pPr>
                    <w:autoSpaceDE w:val="0"/>
                    <w:autoSpaceDN w:val="0"/>
                    <w:adjustRightInd w:val="0"/>
                    <w:snapToGrid w:val="0"/>
                    <w:rPr>
                      <w:rFonts w:cs="宋体"/>
                      <w:kern w:val="0"/>
                      <w:szCs w:val="24"/>
                    </w:rPr>
                  </w:pPr>
                  <w:r>
                    <w:rPr>
                      <w:rFonts w:hint="eastAsia" w:cs="宋体"/>
                      <w:kern w:val="0"/>
                      <w:szCs w:val="24"/>
                    </w:rPr>
                    <w:t>准保护区：二级保护区以外上溯</w:t>
                  </w:r>
                  <w:r>
                    <w:rPr>
                      <w:rFonts w:cs="TimesNewRomanPSMT"/>
                      <w:kern w:val="0"/>
                      <w:szCs w:val="24"/>
                    </w:rPr>
                    <w:t>2000</w:t>
                  </w:r>
                  <w:r>
                    <w:rPr>
                      <w:rFonts w:hint="eastAsia" w:cs="宋体"/>
                      <w:kern w:val="0"/>
                      <w:szCs w:val="24"/>
                    </w:rPr>
                    <w:t>米，下游</w:t>
                  </w:r>
                  <w:r>
                    <w:rPr>
                      <w:rFonts w:cs="TimesNewRomanPSMT"/>
                      <w:kern w:val="0"/>
                      <w:szCs w:val="24"/>
                    </w:rPr>
                    <w:t>1000</w:t>
                  </w:r>
                  <w:r>
                    <w:rPr>
                      <w:rFonts w:hint="eastAsia" w:cs="宋体"/>
                      <w:kern w:val="0"/>
                      <w:szCs w:val="24"/>
                    </w:rPr>
                    <w:t>米的水域范围，以及准保护区水域与相应的两岸背水坡堤脚外</w:t>
                  </w:r>
                  <w:r>
                    <w:rPr>
                      <w:rFonts w:cs="TimesNewRomanPSMT"/>
                      <w:kern w:val="0"/>
                      <w:szCs w:val="24"/>
                    </w:rPr>
                    <w:t>100</w:t>
                  </w:r>
                  <w:r>
                    <w:rPr>
                      <w:rFonts w:hint="eastAsia" w:cs="宋体"/>
                      <w:kern w:val="0"/>
                      <w:szCs w:val="24"/>
                    </w:rPr>
                    <w:t>米之间的陆域范围</w:t>
                  </w:r>
                </w:p>
              </w:tc>
              <w:tc>
                <w:tcPr>
                  <w:tcW w:w="793" w:type="pct"/>
                  <w:vAlign w:val="center"/>
                </w:tcPr>
                <w:p>
                  <w:pPr>
                    <w:adjustRightInd w:val="0"/>
                    <w:snapToGrid w:val="0"/>
                    <w:jc w:val="center"/>
                    <w:rPr>
                      <w:kern w:val="0"/>
                      <w:szCs w:val="24"/>
                    </w:rPr>
                  </w:pPr>
                  <w:r>
                    <w:rPr>
                      <w:rFonts w:cs="TimesNewRomanPSMT"/>
                      <w:kern w:val="0"/>
                      <w:szCs w:val="24"/>
                    </w:rPr>
                    <w:t>10.14</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c>
                <w:tcPr>
                  <w:tcW w:w="515" w:type="pct"/>
                  <w:vAlign w:val="center"/>
                </w:tcPr>
                <w:p>
                  <w:pPr>
                    <w:adjustRightInd w:val="0"/>
                    <w:snapToGrid w:val="0"/>
                    <w:jc w:val="center"/>
                    <w:rPr>
                      <w:kern w:val="0"/>
                      <w:szCs w:val="24"/>
                    </w:rPr>
                  </w:pPr>
                  <w:r>
                    <w:rPr>
                      <w:rFonts w:hint="eastAsia"/>
                      <w:kern w:val="0"/>
                    </w:rPr>
                    <w:t>宿迁市</w:t>
                  </w:r>
                </w:p>
              </w:tc>
              <w:tc>
                <w:tcPr>
                  <w:tcW w:w="515" w:type="pct"/>
                  <w:vAlign w:val="center"/>
                </w:tcPr>
                <w:p>
                  <w:pPr>
                    <w:adjustRightInd w:val="0"/>
                    <w:snapToGrid w:val="0"/>
                    <w:jc w:val="center"/>
                    <w:rPr>
                      <w:kern w:val="0"/>
                      <w:szCs w:val="24"/>
                    </w:rPr>
                  </w:pPr>
                  <w:r>
                    <w:rPr>
                      <w:rFonts w:hint="eastAsia"/>
                      <w:kern w:val="0"/>
                    </w:rPr>
                    <w:t>沭阳县</w:t>
                  </w:r>
                </w:p>
              </w:tc>
              <w:tc>
                <w:tcPr>
                  <w:tcW w:w="773" w:type="pct"/>
                  <w:vAlign w:val="center"/>
                </w:tcPr>
                <w:p>
                  <w:pPr>
                    <w:autoSpaceDE w:val="0"/>
                    <w:autoSpaceDN w:val="0"/>
                    <w:adjustRightInd w:val="0"/>
                    <w:snapToGrid w:val="0"/>
                    <w:jc w:val="center"/>
                    <w:rPr>
                      <w:rFonts w:cs="宋体"/>
                      <w:kern w:val="0"/>
                      <w:szCs w:val="24"/>
                    </w:rPr>
                  </w:pPr>
                  <w:r>
                    <w:rPr>
                      <w:rFonts w:hint="eastAsia" w:cs="宋体"/>
                      <w:kern w:val="0"/>
                      <w:szCs w:val="24"/>
                    </w:rPr>
                    <w:t>淮沭河第二饮用水水源保护区</w:t>
                  </w:r>
                </w:p>
              </w:tc>
              <w:tc>
                <w:tcPr>
                  <w:tcW w:w="601" w:type="pct"/>
                  <w:vAlign w:val="center"/>
                </w:tcPr>
                <w:p>
                  <w:pPr>
                    <w:adjustRightInd w:val="0"/>
                    <w:snapToGrid w:val="0"/>
                    <w:jc w:val="center"/>
                    <w:rPr>
                      <w:szCs w:val="21"/>
                    </w:rPr>
                  </w:pPr>
                  <w:r>
                    <w:rPr>
                      <w:rFonts w:hint="eastAsia" w:cs="宋体"/>
                      <w:kern w:val="0"/>
                      <w:szCs w:val="24"/>
                    </w:rPr>
                    <w:t>饮用水水源保护区</w:t>
                  </w:r>
                </w:p>
              </w:tc>
              <w:tc>
                <w:tcPr>
                  <w:tcW w:w="1802" w:type="pct"/>
                  <w:vAlign w:val="center"/>
                </w:tcPr>
                <w:p>
                  <w:pPr>
                    <w:autoSpaceDE w:val="0"/>
                    <w:autoSpaceDN w:val="0"/>
                    <w:adjustRightInd w:val="0"/>
                    <w:snapToGrid w:val="0"/>
                    <w:rPr>
                      <w:rFonts w:cs="宋体"/>
                      <w:kern w:val="0"/>
                      <w:szCs w:val="24"/>
                    </w:rPr>
                  </w:pPr>
                  <w:r>
                    <w:rPr>
                      <w:rFonts w:hint="eastAsia" w:cs="宋体"/>
                      <w:kern w:val="0"/>
                      <w:szCs w:val="24"/>
                    </w:rPr>
                    <w:t>取水口坐标：</w:t>
                  </w:r>
                  <w:r>
                    <w:rPr>
                      <w:rFonts w:cs="TimesNewRomanPSMT"/>
                      <w:kern w:val="0"/>
                      <w:szCs w:val="24"/>
                    </w:rPr>
                    <w:t>118</w:t>
                  </w:r>
                  <w:r>
                    <w:rPr>
                      <w:rFonts w:hint="eastAsia" w:cs="TimesNewRomanPSMT"/>
                      <w:kern w:val="0"/>
                      <w:szCs w:val="24"/>
                    </w:rPr>
                    <w:t>°</w:t>
                  </w:r>
                  <w:r>
                    <w:rPr>
                      <w:rFonts w:cs="TimesNewRomanPSMT"/>
                      <w:kern w:val="0"/>
                      <w:szCs w:val="24"/>
                    </w:rPr>
                    <w:t>43</w:t>
                  </w:r>
                  <w:r>
                    <w:rPr>
                      <w:rFonts w:hint="eastAsia" w:cs="TimesNewRomanPSMT"/>
                      <w:kern w:val="0"/>
                      <w:szCs w:val="24"/>
                    </w:rPr>
                    <w:t>′</w:t>
                  </w:r>
                  <w:r>
                    <w:rPr>
                      <w:rFonts w:cs="TimesNewRomanPSMT"/>
                      <w:kern w:val="0"/>
                      <w:szCs w:val="24"/>
                    </w:rPr>
                    <w:t>2</w:t>
                  </w:r>
                  <w:r>
                    <w:rPr>
                      <w:rFonts w:hint="eastAsia" w:cs="TimesNewRomanPSMT"/>
                      <w:kern w:val="0"/>
                      <w:szCs w:val="24"/>
                    </w:rPr>
                    <w:t>″</w:t>
                  </w:r>
                  <w:r>
                    <w:rPr>
                      <w:rFonts w:hint="eastAsia" w:cs="宋体"/>
                      <w:kern w:val="0"/>
                      <w:szCs w:val="24"/>
                    </w:rPr>
                    <w:t>，</w:t>
                  </w:r>
                  <w:r>
                    <w:rPr>
                      <w:rFonts w:cs="TimesNewRomanPSMT"/>
                      <w:kern w:val="0"/>
                      <w:szCs w:val="24"/>
                    </w:rPr>
                    <w:t>34</w:t>
                  </w:r>
                  <w:r>
                    <w:rPr>
                      <w:rFonts w:hint="eastAsia" w:cs="TimesNewRomanPSMT"/>
                      <w:kern w:val="0"/>
                      <w:szCs w:val="24"/>
                    </w:rPr>
                    <w:t>°</w:t>
                  </w:r>
                  <w:r>
                    <w:rPr>
                      <w:rFonts w:cs="TimesNewRomanPSMT"/>
                      <w:kern w:val="0"/>
                      <w:szCs w:val="24"/>
                    </w:rPr>
                    <w:t>03</w:t>
                  </w:r>
                  <w:r>
                    <w:rPr>
                      <w:rFonts w:hint="eastAsia" w:cs="TimesNewRomanPSMT"/>
                      <w:kern w:val="0"/>
                      <w:szCs w:val="24"/>
                    </w:rPr>
                    <w:t>′</w:t>
                  </w:r>
                  <w:r>
                    <w:rPr>
                      <w:rFonts w:cs="TimesNewRomanPSMT"/>
                      <w:kern w:val="0"/>
                      <w:szCs w:val="24"/>
                    </w:rPr>
                    <w:t>40</w:t>
                  </w:r>
                  <w:r>
                    <w:rPr>
                      <w:rFonts w:hint="eastAsia" w:cs="TimesNewRomanPSMT"/>
                      <w:kern w:val="0"/>
                      <w:szCs w:val="24"/>
                    </w:rPr>
                    <w:t>″</w:t>
                  </w:r>
                  <w:r>
                    <w:rPr>
                      <w:rFonts w:hint="eastAsia" w:cs="宋体"/>
                      <w:kern w:val="0"/>
                      <w:szCs w:val="24"/>
                    </w:rPr>
                    <w:t>。</w:t>
                  </w:r>
                </w:p>
                <w:p>
                  <w:pPr>
                    <w:autoSpaceDE w:val="0"/>
                    <w:autoSpaceDN w:val="0"/>
                    <w:adjustRightInd w:val="0"/>
                    <w:snapToGrid w:val="0"/>
                    <w:rPr>
                      <w:rFonts w:cs="宋体"/>
                      <w:kern w:val="0"/>
                      <w:szCs w:val="24"/>
                    </w:rPr>
                  </w:pPr>
                  <w:r>
                    <w:rPr>
                      <w:rFonts w:hint="eastAsia" w:cs="宋体"/>
                      <w:kern w:val="0"/>
                      <w:szCs w:val="24"/>
                    </w:rPr>
                    <w:t>一级保护区：取水口上游</w:t>
                  </w:r>
                  <w:r>
                    <w:rPr>
                      <w:rFonts w:cs="TimesNewRomanPSMT"/>
                      <w:kern w:val="0"/>
                      <w:szCs w:val="24"/>
                    </w:rPr>
                    <w:t>1000</w:t>
                  </w:r>
                  <w:r>
                    <w:rPr>
                      <w:rFonts w:hint="eastAsia" w:cs="宋体"/>
                      <w:kern w:val="0"/>
                      <w:szCs w:val="24"/>
                    </w:rPr>
                    <w:t>米至下游</w:t>
                  </w:r>
                  <w:r>
                    <w:rPr>
                      <w:rFonts w:cs="TimesNewRomanPSMT"/>
                      <w:kern w:val="0"/>
                      <w:szCs w:val="24"/>
                    </w:rPr>
                    <w:t>1000</w:t>
                  </w:r>
                  <w:r>
                    <w:rPr>
                      <w:rFonts w:hint="eastAsia" w:cs="宋体"/>
                      <w:kern w:val="0"/>
                      <w:szCs w:val="24"/>
                    </w:rPr>
                    <w:t>米及其岸</w:t>
                  </w:r>
                </w:p>
                <w:p>
                  <w:pPr>
                    <w:autoSpaceDE w:val="0"/>
                    <w:autoSpaceDN w:val="0"/>
                    <w:adjustRightInd w:val="0"/>
                    <w:snapToGrid w:val="0"/>
                    <w:rPr>
                      <w:rFonts w:cs="宋体"/>
                      <w:kern w:val="0"/>
                      <w:szCs w:val="24"/>
                    </w:rPr>
                  </w:pPr>
                  <w:r>
                    <w:rPr>
                      <w:rFonts w:hint="eastAsia" w:cs="宋体"/>
                      <w:kern w:val="0"/>
                      <w:szCs w:val="24"/>
                    </w:rPr>
                    <w:t>背水坡之间的水域范围和一级保护区水域相对应的两岸背水坡堤脚外</w:t>
                  </w:r>
                  <w:r>
                    <w:rPr>
                      <w:rFonts w:cs="TimesNewRomanPSMT"/>
                      <w:kern w:val="0"/>
                      <w:szCs w:val="24"/>
                    </w:rPr>
                    <w:t>100</w:t>
                  </w:r>
                  <w:r>
                    <w:rPr>
                      <w:rFonts w:hint="eastAsia" w:cs="宋体"/>
                      <w:kern w:val="0"/>
                      <w:szCs w:val="24"/>
                    </w:rPr>
                    <w:t>米之间的范围。</w:t>
                  </w:r>
                </w:p>
                <w:p>
                  <w:pPr>
                    <w:autoSpaceDE w:val="0"/>
                    <w:autoSpaceDN w:val="0"/>
                    <w:adjustRightInd w:val="0"/>
                    <w:snapToGrid w:val="0"/>
                    <w:rPr>
                      <w:rFonts w:cs="TimesNewRomanPSMT"/>
                      <w:kern w:val="0"/>
                      <w:szCs w:val="24"/>
                    </w:rPr>
                  </w:pPr>
                  <w:r>
                    <w:rPr>
                      <w:rFonts w:hint="eastAsia" w:cs="宋体"/>
                      <w:kern w:val="0"/>
                      <w:szCs w:val="24"/>
                    </w:rPr>
                    <w:t>二级保护区：一级保护区以外上溯</w:t>
                  </w:r>
                  <w:r>
                    <w:rPr>
                      <w:rFonts w:cs="TimesNewRomanPSMT"/>
                      <w:kern w:val="0"/>
                      <w:szCs w:val="24"/>
                    </w:rPr>
                    <w:t>2000</w:t>
                  </w:r>
                  <w:r>
                    <w:rPr>
                      <w:rFonts w:hint="eastAsia" w:cs="宋体"/>
                      <w:kern w:val="0"/>
                      <w:szCs w:val="24"/>
                    </w:rPr>
                    <w:t>米、下延</w:t>
                  </w:r>
                  <w:r>
                    <w:rPr>
                      <w:rFonts w:cs="TimesNewRomanPSMT"/>
                      <w:kern w:val="0"/>
                      <w:szCs w:val="24"/>
                    </w:rPr>
                    <w:t>500</w:t>
                  </w:r>
                  <w:r>
                    <w:rPr>
                      <w:rFonts w:hint="eastAsia" w:cs="宋体"/>
                      <w:kern w:val="0"/>
                      <w:szCs w:val="24"/>
                    </w:rPr>
                    <w:t>米的水域范围，以及二级保护区水域相对应的两岸背水坡堤角外</w:t>
                  </w:r>
                  <w:r>
                    <w:rPr>
                      <w:rFonts w:cs="TimesNewRomanPSMT"/>
                      <w:kern w:val="0"/>
                      <w:szCs w:val="24"/>
                    </w:rPr>
                    <w:t>100</w:t>
                  </w:r>
                  <w:r>
                    <w:rPr>
                      <w:rFonts w:hint="eastAsia" w:cs="宋体"/>
                      <w:kern w:val="0"/>
                      <w:szCs w:val="24"/>
                    </w:rPr>
                    <w:t>米之间的陆域范围。</w:t>
                  </w:r>
                </w:p>
                <w:p>
                  <w:pPr>
                    <w:autoSpaceDE w:val="0"/>
                    <w:autoSpaceDN w:val="0"/>
                    <w:adjustRightInd w:val="0"/>
                    <w:snapToGrid w:val="0"/>
                    <w:rPr>
                      <w:rFonts w:cs="宋体"/>
                      <w:kern w:val="0"/>
                      <w:szCs w:val="24"/>
                    </w:rPr>
                  </w:pPr>
                  <w:r>
                    <w:rPr>
                      <w:rFonts w:hint="eastAsia" w:cs="宋体"/>
                      <w:kern w:val="0"/>
                      <w:szCs w:val="24"/>
                    </w:rPr>
                    <w:t>准保护区：二级保护区以外上溯</w:t>
                  </w:r>
                  <w:r>
                    <w:rPr>
                      <w:rFonts w:cs="TimesNewRomanPSMT"/>
                      <w:kern w:val="0"/>
                      <w:szCs w:val="24"/>
                    </w:rPr>
                    <w:t>2000</w:t>
                  </w:r>
                  <w:r>
                    <w:rPr>
                      <w:rFonts w:hint="eastAsia" w:cs="宋体"/>
                      <w:kern w:val="0"/>
                      <w:szCs w:val="24"/>
                    </w:rPr>
                    <w:t>米，下游</w:t>
                  </w:r>
                  <w:r>
                    <w:rPr>
                      <w:rFonts w:cs="TimesNewRomanPSMT"/>
                      <w:kern w:val="0"/>
                      <w:szCs w:val="24"/>
                    </w:rPr>
                    <w:t>1000</w:t>
                  </w:r>
                  <w:r>
                    <w:rPr>
                      <w:rFonts w:hint="eastAsia" w:cs="宋体"/>
                      <w:kern w:val="0"/>
                      <w:szCs w:val="24"/>
                    </w:rPr>
                    <w:t>米的水域范围，以及准保护区水域与相应的两岸背水坡堤脚外</w:t>
                  </w:r>
                  <w:r>
                    <w:rPr>
                      <w:rFonts w:cs="TimesNewRomanPSMT"/>
                      <w:kern w:val="0"/>
                      <w:szCs w:val="24"/>
                    </w:rPr>
                    <w:t>100</w:t>
                  </w:r>
                  <w:r>
                    <w:rPr>
                      <w:rFonts w:hint="eastAsia" w:cs="宋体"/>
                      <w:kern w:val="0"/>
                      <w:szCs w:val="24"/>
                    </w:rPr>
                    <w:t>米之间的陆域范围</w:t>
                  </w:r>
                </w:p>
              </w:tc>
              <w:tc>
                <w:tcPr>
                  <w:tcW w:w="793" w:type="pct"/>
                  <w:vAlign w:val="center"/>
                </w:tcPr>
                <w:p>
                  <w:pPr>
                    <w:adjustRightInd w:val="0"/>
                    <w:snapToGrid w:val="0"/>
                    <w:jc w:val="center"/>
                    <w:rPr>
                      <w:kern w:val="0"/>
                      <w:szCs w:val="24"/>
                    </w:rPr>
                  </w:pPr>
                  <w:r>
                    <w:rPr>
                      <w:rFonts w:cs="TimesNewRomanPSMT"/>
                      <w:kern w:val="0"/>
                      <w:szCs w:val="24"/>
                    </w:rPr>
                    <w:t>11.40</w:t>
                  </w:r>
                </w:p>
              </w:tc>
            </w:tr>
          </w:tbl>
          <w:p>
            <w:pPr>
              <w:autoSpaceDE w:val="0"/>
              <w:autoSpaceDN w:val="0"/>
              <w:spacing w:beforeLines="50" w:line="360" w:lineRule="auto"/>
              <w:ind w:firstLine="480" w:firstLineChars="200"/>
              <w:rPr>
                <w:rFonts w:cs="宋体"/>
                <w:kern w:val="0"/>
                <w:sz w:val="24"/>
                <w:szCs w:val="24"/>
              </w:rPr>
            </w:pPr>
            <w:r>
              <w:rPr>
                <w:rFonts w:hint="eastAsia" w:cs="宋体"/>
                <w:kern w:val="0"/>
                <w:sz w:val="24"/>
                <w:szCs w:val="24"/>
              </w:rPr>
              <w:t>本项目不在沭阳县国家级生态保护红线规划范围内，因此，本项目的建设不违背《</w:t>
            </w:r>
            <w:r>
              <w:rPr>
                <w:rFonts w:hint="eastAsia"/>
                <w:sz w:val="24"/>
              </w:rPr>
              <w:t>江苏省国家级生态保护红线规划</w:t>
            </w:r>
            <w:r>
              <w:rPr>
                <w:rFonts w:hint="eastAsia" w:cs="宋体"/>
                <w:kern w:val="0"/>
                <w:sz w:val="24"/>
                <w:szCs w:val="24"/>
              </w:rPr>
              <w:t>》要求。</w:t>
            </w:r>
          </w:p>
          <w:p>
            <w:pPr>
              <w:spacing w:line="360" w:lineRule="auto"/>
              <w:ind w:firstLine="480" w:firstLineChars="200"/>
              <w:rPr>
                <w:sz w:val="24"/>
                <w:szCs w:val="24"/>
              </w:rPr>
            </w:pPr>
            <w:r>
              <w:rPr>
                <w:rFonts w:hint="eastAsia"/>
                <w:sz w:val="24"/>
                <w:szCs w:val="24"/>
              </w:rPr>
              <w:t>（2）环境质量底线</w:t>
            </w:r>
          </w:p>
          <w:p>
            <w:pPr>
              <w:autoSpaceDE w:val="0"/>
              <w:autoSpaceDN w:val="0"/>
              <w:adjustRightInd w:val="0"/>
              <w:spacing w:line="360" w:lineRule="auto"/>
              <w:ind w:firstLine="480" w:firstLineChars="200"/>
              <w:rPr>
                <w:rFonts w:cs="宋体"/>
                <w:kern w:val="0"/>
                <w:sz w:val="24"/>
                <w:szCs w:val="24"/>
              </w:rPr>
            </w:pPr>
            <w:r>
              <w:rPr>
                <w:rFonts w:hint="eastAsia" w:cs="宋体"/>
                <w:kern w:val="0"/>
                <w:sz w:val="24"/>
                <w:szCs w:val="24"/>
              </w:rPr>
              <w:t>项目所在地大气环境中SO</w:t>
            </w:r>
            <w:r>
              <w:rPr>
                <w:rFonts w:hint="default" w:cs="宋体"/>
                <w:kern w:val="0"/>
                <w:sz w:val="24"/>
                <w:szCs w:val="24"/>
                <w:vertAlign w:val="subscript"/>
              </w:rPr>
              <w:t>2</w:t>
            </w:r>
            <w:r>
              <w:rPr>
                <w:rFonts w:hint="eastAsia" w:cs="宋体"/>
                <w:kern w:val="0"/>
                <w:sz w:val="24"/>
                <w:szCs w:val="24"/>
              </w:rPr>
              <w:t>、NO</w:t>
            </w:r>
            <w:r>
              <w:rPr>
                <w:rFonts w:hint="default" w:cs="宋体"/>
                <w:kern w:val="0"/>
                <w:sz w:val="24"/>
                <w:szCs w:val="24"/>
                <w:vertAlign w:val="subscript"/>
              </w:rPr>
              <w:t>2</w:t>
            </w:r>
            <w:r>
              <w:rPr>
                <w:rFonts w:hint="eastAsia" w:cs="宋体"/>
                <w:kern w:val="0"/>
                <w:sz w:val="24"/>
                <w:szCs w:val="24"/>
              </w:rPr>
              <w:t>、O</w:t>
            </w:r>
            <w:r>
              <w:rPr>
                <w:rFonts w:hint="default" w:cs="宋体"/>
                <w:kern w:val="0"/>
                <w:sz w:val="24"/>
                <w:szCs w:val="24"/>
                <w:vertAlign w:val="subscript"/>
              </w:rPr>
              <w:t>3</w:t>
            </w:r>
            <w:r>
              <w:rPr>
                <w:rFonts w:hint="eastAsia" w:cs="宋体"/>
                <w:kern w:val="0"/>
                <w:sz w:val="24"/>
                <w:szCs w:val="24"/>
              </w:rPr>
              <w:t>、CO</w:t>
            </w:r>
            <w:r>
              <w:rPr>
                <w:rFonts w:hint="eastAsia" w:cs="宋体"/>
                <w:kern w:val="0"/>
                <w:sz w:val="24"/>
                <w:szCs w:val="24"/>
                <w:lang w:val="en-US" w:eastAsia="zh-CN"/>
              </w:rPr>
              <w:t xml:space="preserve"> 四</w:t>
            </w:r>
            <w:r>
              <w:rPr>
                <w:rFonts w:hint="eastAsia" w:cs="宋体"/>
                <w:kern w:val="0"/>
                <w:sz w:val="24"/>
                <w:szCs w:val="24"/>
              </w:rPr>
              <w:t>项基本污染物满足《环境空气质量标准》(GB3095-2012)中二级标准要求，PM</w:t>
            </w:r>
            <w:r>
              <w:rPr>
                <w:rFonts w:hint="default" w:cs="宋体"/>
                <w:kern w:val="0"/>
                <w:sz w:val="24"/>
                <w:szCs w:val="24"/>
                <w:vertAlign w:val="subscript"/>
              </w:rPr>
              <w:t>10</w:t>
            </w:r>
            <w:r>
              <w:rPr>
                <w:rFonts w:hint="eastAsia" w:cs="宋体"/>
                <w:kern w:val="0"/>
                <w:sz w:val="24"/>
                <w:szCs w:val="24"/>
              </w:rPr>
              <w:t>、PM</w:t>
            </w:r>
            <w:r>
              <w:rPr>
                <w:rFonts w:hint="default" w:cs="宋体"/>
                <w:kern w:val="0"/>
                <w:sz w:val="24"/>
                <w:szCs w:val="24"/>
                <w:vertAlign w:val="subscript"/>
              </w:rPr>
              <w:t>2.5</w:t>
            </w:r>
            <w:r>
              <w:rPr>
                <w:rFonts w:hint="eastAsia" w:cs="宋体"/>
                <w:kern w:val="0"/>
                <w:sz w:val="24"/>
                <w:szCs w:val="24"/>
                <w:lang w:val="en-US" w:eastAsia="zh-CN"/>
              </w:rPr>
              <w:t xml:space="preserve"> 两</w:t>
            </w:r>
            <w:r>
              <w:rPr>
                <w:rFonts w:hint="eastAsia" w:cs="宋体"/>
                <w:kern w:val="0"/>
                <w:sz w:val="24"/>
                <w:szCs w:val="24"/>
              </w:rPr>
              <w:t>项基本污染物不达标，项目所在区域属于不达标区，随着区域减排计划的实施，不达标区将逐步转变为达标区；地表水满足《地表水环境质量标准》（</w:t>
            </w:r>
            <w:r>
              <w:rPr>
                <w:rFonts w:cs="TimesNewRomanPSMT"/>
                <w:kern w:val="0"/>
                <w:sz w:val="24"/>
                <w:szCs w:val="24"/>
              </w:rPr>
              <w:t>GB3838-2002</w:t>
            </w:r>
            <w:r>
              <w:rPr>
                <w:rFonts w:hint="eastAsia" w:cs="宋体"/>
                <w:kern w:val="0"/>
                <w:sz w:val="24"/>
                <w:szCs w:val="24"/>
              </w:rPr>
              <w:t>）</w:t>
            </w:r>
            <w:r>
              <w:rPr>
                <w:rFonts w:hint="eastAsia" w:cs="宋体"/>
                <w:sz w:val="24"/>
                <w:szCs w:val="24"/>
              </w:rPr>
              <w:t>Ⅲ</w:t>
            </w:r>
            <w:r>
              <w:rPr>
                <w:rFonts w:hint="eastAsia" w:cs="宋体"/>
                <w:kern w:val="0"/>
                <w:sz w:val="24"/>
                <w:szCs w:val="24"/>
              </w:rPr>
              <w:t>类标准要求；声环境达到《声环境质量标准》（</w:t>
            </w:r>
            <w:r>
              <w:rPr>
                <w:rFonts w:cs="TimesNewRomanPSMT"/>
                <w:kern w:val="0"/>
                <w:sz w:val="24"/>
                <w:szCs w:val="24"/>
              </w:rPr>
              <w:t>GB3096</w:t>
            </w:r>
            <w:r>
              <w:rPr>
                <w:rFonts w:hint="eastAsia" w:cs="TimesNewRomanPSMT"/>
                <w:kern w:val="0"/>
                <w:sz w:val="24"/>
                <w:szCs w:val="24"/>
              </w:rPr>
              <w:t>—</w:t>
            </w:r>
            <w:r>
              <w:rPr>
                <w:rFonts w:cs="TimesNewRomanPSMT"/>
                <w:kern w:val="0"/>
                <w:sz w:val="24"/>
                <w:szCs w:val="24"/>
              </w:rPr>
              <w:t>2008</w:t>
            </w:r>
            <w:r>
              <w:rPr>
                <w:rFonts w:hint="eastAsia" w:cs="宋体"/>
                <w:kern w:val="0"/>
                <w:sz w:val="24"/>
                <w:szCs w:val="24"/>
              </w:rPr>
              <w:t>）</w:t>
            </w:r>
            <w:r>
              <w:rPr>
                <w:rFonts w:hint="eastAsia" w:cs="TimesNewRomanPSMT"/>
                <w:kern w:val="0"/>
                <w:sz w:val="24"/>
                <w:szCs w:val="24"/>
              </w:rPr>
              <w:t>2</w:t>
            </w:r>
            <w:r>
              <w:rPr>
                <w:rFonts w:hint="eastAsia" w:cs="宋体"/>
                <w:kern w:val="0"/>
                <w:sz w:val="24"/>
                <w:szCs w:val="24"/>
              </w:rPr>
              <w:t>类标准。本项目废水、废气、固废均得到合理处置，噪声对周边影响较小，不会突破项目所在地的环境质量底线。因此项目的建设符合环境质量底线标准。</w:t>
            </w:r>
          </w:p>
          <w:p>
            <w:pPr>
              <w:spacing w:line="360" w:lineRule="auto"/>
              <w:ind w:firstLine="480" w:firstLineChars="200"/>
              <w:rPr>
                <w:sz w:val="24"/>
                <w:szCs w:val="24"/>
              </w:rPr>
            </w:pPr>
            <w:r>
              <w:rPr>
                <w:rFonts w:hint="eastAsia"/>
                <w:sz w:val="24"/>
                <w:szCs w:val="24"/>
              </w:rPr>
              <w:t>（3）资源利用上线</w:t>
            </w:r>
          </w:p>
          <w:p>
            <w:pPr>
              <w:autoSpaceDE w:val="0"/>
              <w:autoSpaceDN w:val="0"/>
              <w:adjustRightInd w:val="0"/>
              <w:spacing w:line="360" w:lineRule="auto"/>
              <w:ind w:firstLine="480" w:firstLineChars="200"/>
              <w:rPr>
                <w:rFonts w:cs="宋体"/>
                <w:kern w:val="0"/>
                <w:sz w:val="24"/>
                <w:szCs w:val="24"/>
              </w:rPr>
            </w:pPr>
            <w:r>
              <w:rPr>
                <w:rFonts w:hint="eastAsia" w:cs="宋体"/>
                <w:kern w:val="0"/>
                <w:sz w:val="24"/>
                <w:szCs w:val="24"/>
              </w:rPr>
              <w:t>本项目用水来自区域自来水管网，用电由市政电网供给，不会达到资源利用上线；项目用地为工业用地，符合当地土地规划要求，亦不会达到资源利用上线。</w:t>
            </w:r>
          </w:p>
          <w:p>
            <w:pPr>
              <w:spacing w:line="360" w:lineRule="auto"/>
              <w:ind w:firstLine="480" w:firstLineChars="200"/>
              <w:rPr>
                <w:sz w:val="24"/>
                <w:szCs w:val="24"/>
              </w:rPr>
            </w:pPr>
            <w:r>
              <w:rPr>
                <w:rFonts w:hint="eastAsia"/>
                <w:sz w:val="24"/>
                <w:szCs w:val="24"/>
              </w:rPr>
              <w:t>（4）环境准入负面清单</w:t>
            </w:r>
          </w:p>
          <w:p>
            <w:pPr>
              <w:spacing w:line="360" w:lineRule="auto"/>
              <w:ind w:firstLine="480" w:firstLineChars="200"/>
              <w:rPr>
                <w:sz w:val="24"/>
              </w:rPr>
            </w:pPr>
            <w:r>
              <w:rPr>
                <w:rFonts w:hint="eastAsia" w:hAnsi="宋体" w:cs="宋体"/>
                <w:sz w:val="24"/>
              </w:rPr>
              <w:t>①</w:t>
            </w:r>
            <w:r>
              <w:rPr>
                <w:sz w:val="24"/>
              </w:rPr>
              <w:t>与《宿迁市生态红线区域环保负面清单》相符性</w:t>
            </w:r>
          </w:p>
          <w:p>
            <w:pPr>
              <w:spacing w:line="360" w:lineRule="auto"/>
              <w:ind w:firstLine="480" w:firstLineChars="200"/>
              <w:rPr>
                <w:sz w:val="24"/>
              </w:rPr>
            </w:pPr>
            <w:r>
              <w:rPr>
                <w:sz w:val="24"/>
              </w:rPr>
              <w:t>本项目位于</w:t>
            </w:r>
            <w:r>
              <w:rPr>
                <w:rFonts w:hint="eastAsia" w:hAnsi="宋体"/>
                <w:sz w:val="24"/>
                <w:szCs w:val="24"/>
              </w:rPr>
              <w:t>沭阳县龙庙镇朱庄村三组</w:t>
            </w:r>
            <w:r>
              <w:rPr>
                <w:sz w:val="24"/>
                <w:szCs w:val="24"/>
              </w:rPr>
              <w:t>38</w:t>
            </w:r>
            <w:r>
              <w:rPr>
                <w:rFonts w:hint="eastAsia" w:hAnsi="宋体"/>
                <w:sz w:val="24"/>
                <w:szCs w:val="24"/>
              </w:rPr>
              <w:t>号</w:t>
            </w:r>
            <w:r>
              <w:rPr>
                <w:sz w:val="24"/>
              </w:rPr>
              <w:t>，距离最近的生态红线保护区</w:t>
            </w:r>
            <w:r>
              <w:rPr>
                <w:rFonts w:hint="eastAsia"/>
                <w:sz w:val="24"/>
              </w:rPr>
              <w:t>管控区约5</w:t>
            </w:r>
            <w:r>
              <w:rPr>
                <w:sz w:val="24"/>
              </w:rPr>
              <w:t>km，不受《宿迁市生态红线区域环保负面清单》（宿环委发[2015]19 号）限制</w:t>
            </w:r>
            <w:r>
              <w:rPr>
                <w:rFonts w:hint="eastAsia"/>
                <w:sz w:val="24"/>
              </w:rPr>
              <w:t>。</w:t>
            </w:r>
          </w:p>
          <w:p>
            <w:pPr>
              <w:spacing w:line="360" w:lineRule="auto"/>
              <w:ind w:firstLine="480" w:firstLineChars="200"/>
              <w:rPr>
                <w:sz w:val="24"/>
              </w:rPr>
            </w:pPr>
            <w:r>
              <w:rPr>
                <w:rFonts w:hint="eastAsia" w:ascii="宋体" w:hAnsi="宋体" w:cs="宋体"/>
                <w:sz w:val="24"/>
              </w:rPr>
              <w:t>②</w:t>
            </w:r>
            <w:r>
              <w:rPr>
                <w:sz w:val="24"/>
              </w:rPr>
              <w:t>产业政策符合性</w:t>
            </w:r>
          </w:p>
          <w:p>
            <w:pPr>
              <w:spacing w:line="360" w:lineRule="auto"/>
              <w:ind w:firstLine="480" w:firstLineChars="200"/>
              <w:rPr>
                <w:sz w:val="24"/>
              </w:rPr>
            </w:pPr>
            <w:r>
              <w:rPr>
                <w:sz w:val="24"/>
              </w:rPr>
              <w:t>产业政策符合性本项目不属于国务院《产业结构调整指导目录(2011年本)》以及国家发展改革委关于修改《产业结构调整指导目录 (2011年本)》有关条款的决定中淘汰和限制类项目，亦不属于《江苏省工业和信息产业结构调整指导目录</w:t>
            </w:r>
            <w:r>
              <w:rPr>
                <w:rFonts w:ascii="宋体" w:hAnsi="宋体"/>
                <w:sz w:val="24"/>
              </w:rPr>
              <w:t>(</w:t>
            </w:r>
            <w:r>
              <w:rPr>
                <w:sz w:val="24"/>
              </w:rPr>
              <w:t>2012 年本</w:t>
            </w:r>
            <w:r>
              <w:rPr>
                <w:rFonts w:ascii="宋体" w:hAnsi="宋体"/>
                <w:sz w:val="24"/>
              </w:rPr>
              <w:t>)</w:t>
            </w:r>
            <w:r>
              <w:rPr>
                <w:sz w:val="24"/>
              </w:rPr>
              <w:t>》及关于修改《江苏省工业和信息产业结构调整指导目录（2012 年本）》部分条目的通知中限制类和淘汰类项目，不属于《江苏省工业和信息产业结构调整限制、淘汰目录和能耗限额》（苏政办发[2015]118 号）中限制和淘汰类项目，符合国家与地方产业政策。</w:t>
            </w:r>
          </w:p>
          <w:p>
            <w:pPr>
              <w:pStyle w:val="123"/>
              <w:numPr>
                <w:ilvl w:val="0"/>
                <w:numId w:val="3"/>
              </w:numPr>
              <w:spacing w:line="360" w:lineRule="auto"/>
              <w:ind w:left="0" w:firstLine="480"/>
              <w:rPr>
                <w:sz w:val="24"/>
              </w:rPr>
            </w:pPr>
            <w:r>
              <w:rPr>
                <w:rFonts w:hint="eastAsia"/>
                <w:sz w:val="24"/>
              </w:rPr>
              <w:t>“</w:t>
            </w:r>
            <w:r>
              <w:rPr>
                <w:sz w:val="24"/>
              </w:rPr>
              <w:t>二六三</w:t>
            </w:r>
            <w:r>
              <w:rPr>
                <w:rFonts w:hint="eastAsia"/>
                <w:sz w:val="24"/>
              </w:rPr>
              <w:t>”</w:t>
            </w:r>
            <w:r>
              <w:rPr>
                <w:sz w:val="24"/>
              </w:rPr>
              <w:t>相符性</w:t>
            </w:r>
          </w:p>
          <w:p>
            <w:pPr>
              <w:spacing w:line="360" w:lineRule="auto"/>
              <w:ind w:firstLine="480" w:firstLineChars="200"/>
              <w:rPr>
                <w:sz w:val="24"/>
              </w:rPr>
            </w:pPr>
            <w:r>
              <w:rPr>
                <w:sz w:val="24"/>
              </w:rPr>
              <w:t>对照《</w:t>
            </w:r>
            <w:r>
              <w:rPr>
                <w:rFonts w:hint="eastAsia"/>
                <w:sz w:val="24"/>
              </w:rPr>
              <w:t>江苏省“</w:t>
            </w:r>
            <w:r>
              <w:rPr>
                <w:sz w:val="24"/>
              </w:rPr>
              <w:t>两减六治三提升</w:t>
            </w:r>
            <w:r>
              <w:rPr>
                <w:rFonts w:hint="eastAsia"/>
                <w:sz w:val="24"/>
              </w:rPr>
              <w:t>”</w:t>
            </w:r>
            <w:r>
              <w:rPr>
                <w:sz w:val="24"/>
              </w:rPr>
              <w:t>专项行动</w:t>
            </w:r>
            <w:r>
              <w:rPr>
                <w:rFonts w:hint="eastAsia"/>
                <w:sz w:val="24"/>
              </w:rPr>
              <w:t>实施</w:t>
            </w:r>
            <w:r>
              <w:rPr>
                <w:sz w:val="24"/>
              </w:rPr>
              <w:t>方案</w:t>
            </w:r>
            <w:r>
              <w:rPr>
                <w:rFonts w:hint="eastAsia"/>
                <w:sz w:val="24"/>
              </w:rPr>
              <w:t>》</w:t>
            </w:r>
            <w:r>
              <w:rPr>
                <w:sz w:val="24"/>
              </w:rPr>
              <w:t>，</w:t>
            </w:r>
            <w:r>
              <w:rPr>
                <w:rFonts w:hint="eastAsia"/>
                <w:sz w:val="24"/>
              </w:rPr>
              <w:t>本项目为木</w:t>
            </w:r>
            <w:r>
              <w:rPr>
                <w:rFonts w:hint="eastAsia"/>
                <w:sz w:val="24"/>
                <w:szCs w:val="24"/>
              </w:rPr>
              <w:t>质</w:t>
            </w:r>
            <w:r>
              <w:rPr>
                <w:rFonts w:hint="eastAsia"/>
                <w:sz w:val="24"/>
              </w:rPr>
              <w:t>制品制造业，不属于“263行业”中所涉及的重点行业，且本项目生产过程中产生的废气采取有效处理措施后，废气能够有效去除，对</w:t>
            </w:r>
            <w:r>
              <w:rPr>
                <w:sz w:val="24"/>
              </w:rPr>
              <w:t>环境影响较小</w:t>
            </w:r>
            <w:r>
              <w:rPr>
                <w:rFonts w:hint="eastAsia"/>
                <w:sz w:val="24"/>
              </w:rPr>
              <w:t>。因此，</w:t>
            </w:r>
            <w:r>
              <w:rPr>
                <w:sz w:val="24"/>
              </w:rPr>
              <w:t>本项目符合</w:t>
            </w:r>
            <w:r>
              <w:rPr>
                <w:rFonts w:hint="eastAsia"/>
                <w:sz w:val="24"/>
              </w:rPr>
              <w:t>“</w:t>
            </w:r>
            <w:r>
              <w:rPr>
                <w:sz w:val="24"/>
              </w:rPr>
              <w:t>二六三</w:t>
            </w:r>
            <w:r>
              <w:rPr>
                <w:rFonts w:hint="eastAsia"/>
                <w:sz w:val="24"/>
              </w:rPr>
              <w:t>”</w:t>
            </w:r>
            <w:r>
              <w:rPr>
                <w:sz w:val="24"/>
              </w:rPr>
              <w:t>相关行动方案的相关要求。</w:t>
            </w:r>
          </w:p>
          <w:p>
            <w:pPr>
              <w:pStyle w:val="123"/>
              <w:numPr>
                <w:ilvl w:val="0"/>
                <w:numId w:val="3"/>
              </w:numPr>
              <w:spacing w:line="360" w:lineRule="auto"/>
              <w:ind w:firstLineChars="0"/>
              <w:rPr>
                <w:sz w:val="24"/>
              </w:rPr>
            </w:pPr>
            <w:r>
              <w:rPr>
                <w:sz w:val="24"/>
              </w:rPr>
              <w:t>规划符合性</w:t>
            </w:r>
          </w:p>
          <w:p>
            <w:pPr>
              <w:spacing w:line="360" w:lineRule="auto"/>
              <w:ind w:firstLine="480" w:firstLineChars="200"/>
              <w:rPr>
                <w:sz w:val="24"/>
              </w:rPr>
            </w:pPr>
            <w:r>
              <w:rPr>
                <w:sz w:val="24"/>
              </w:rPr>
              <w:t>本项目所在厂区位于</w:t>
            </w:r>
            <w:r>
              <w:rPr>
                <w:rFonts w:hint="eastAsia" w:hAnsi="宋体"/>
                <w:sz w:val="24"/>
                <w:szCs w:val="24"/>
              </w:rPr>
              <w:t>沭阳县龙庙镇朱庄村三组</w:t>
            </w:r>
            <w:r>
              <w:rPr>
                <w:sz w:val="24"/>
                <w:szCs w:val="24"/>
              </w:rPr>
              <w:t>38</w:t>
            </w:r>
            <w:r>
              <w:rPr>
                <w:rFonts w:hint="eastAsia" w:hAnsi="宋体"/>
                <w:sz w:val="24"/>
                <w:szCs w:val="24"/>
              </w:rPr>
              <w:t>号</w:t>
            </w:r>
            <w:r>
              <w:rPr>
                <w:sz w:val="24"/>
              </w:rPr>
              <w:t>，所在地为工业用地，不违反当地规划。</w:t>
            </w:r>
          </w:p>
          <w:p>
            <w:pPr>
              <w:spacing w:line="360" w:lineRule="auto"/>
              <w:ind w:firstLine="480" w:firstLineChars="200"/>
              <w:rPr>
                <w:b/>
                <w:sz w:val="24"/>
                <w:szCs w:val="24"/>
              </w:rPr>
            </w:pPr>
            <w:r>
              <w:rPr>
                <w:rFonts w:hint="eastAsia"/>
                <w:sz w:val="24"/>
              </w:rPr>
              <w:t>综上，本项目符合“三线一单”要求。</w:t>
            </w:r>
          </w:p>
          <w:p>
            <w:pPr>
              <w:spacing w:line="360" w:lineRule="auto"/>
              <w:ind w:firstLine="480" w:firstLineChars="200"/>
              <w:rPr>
                <w:sz w:val="24"/>
              </w:rPr>
            </w:pPr>
            <w:r>
              <w:rPr>
                <w:sz w:val="24"/>
              </w:rPr>
              <w:t>4、公用工程</w:t>
            </w:r>
          </w:p>
          <w:p>
            <w:pPr>
              <w:spacing w:line="360" w:lineRule="auto"/>
              <w:ind w:firstLine="480" w:firstLineChars="200"/>
              <w:rPr>
                <w:sz w:val="24"/>
              </w:rPr>
            </w:pPr>
            <w:r>
              <w:rPr>
                <w:sz w:val="24"/>
              </w:rPr>
              <w:t>（1）给排水</w:t>
            </w:r>
          </w:p>
          <w:p>
            <w:pPr>
              <w:spacing w:line="360" w:lineRule="auto"/>
              <w:ind w:firstLine="480" w:firstLineChars="200"/>
              <w:rPr>
                <w:sz w:val="24"/>
                <w:szCs w:val="24"/>
              </w:rPr>
            </w:pPr>
            <w:r>
              <w:rPr>
                <w:rFonts w:hint="eastAsia"/>
                <w:sz w:val="24"/>
                <w:szCs w:val="24"/>
              </w:rPr>
              <w:t>本</w:t>
            </w:r>
            <w:r>
              <w:rPr>
                <w:sz w:val="24"/>
                <w:szCs w:val="24"/>
              </w:rPr>
              <w:t>项目总用水为</w:t>
            </w:r>
            <w:r>
              <w:rPr>
                <w:rFonts w:hint="eastAsia"/>
                <w:sz w:val="24"/>
                <w:szCs w:val="24"/>
              </w:rPr>
              <w:t>1</w:t>
            </w:r>
            <w:r>
              <w:rPr>
                <w:rFonts w:hint="eastAsia"/>
                <w:sz w:val="24"/>
                <w:szCs w:val="24"/>
                <w:lang w:val="en-US" w:eastAsia="zh-CN"/>
              </w:rPr>
              <w:t>10</w:t>
            </w:r>
            <w:r>
              <w:rPr>
                <w:sz w:val="24"/>
                <w:szCs w:val="24"/>
              </w:rPr>
              <w:t>t/a，来自当地自来水管网。</w:t>
            </w:r>
          </w:p>
          <w:p>
            <w:pPr>
              <w:spacing w:line="360" w:lineRule="auto"/>
              <w:ind w:firstLine="480" w:firstLineChars="200"/>
              <w:rPr>
                <w:sz w:val="24"/>
                <w:szCs w:val="24"/>
              </w:rPr>
            </w:pPr>
            <w:r>
              <w:rPr>
                <w:sz w:val="24"/>
                <w:szCs w:val="24"/>
              </w:rPr>
              <w:t>本项目废水</w:t>
            </w:r>
            <w:r>
              <w:rPr>
                <w:rFonts w:hint="eastAsia"/>
                <w:sz w:val="24"/>
                <w:szCs w:val="24"/>
              </w:rPr>
              <w:t>为</w:t>
            </w:r>
            <w:r>
              <w:rPr>
                <w:sz w:val="24"/>
                <w:szCs w:val="24"/>
              </w:rPr>
              <w:t>生活</w:t>
            </w:r>
            <w:r>
              <w:rPr>
                <w:rFonts w:hint="eastAsia"/>
                <w:sz w:val="24"/>
                <w:szCs w:val="24"/>
              </w:rPr>
              <w:t>污</w:t>
            </w:r>
            <w:r>
              <w:rPr>
                <w:sz w:val="24"/>
                <w:szCs w:val="24"/>
              </w:rPr>
              <w:t>水。</w:t>
            </w:r>
            <w:r>
              <w:rPr>
                <w:rFonts w:hint="eastAsia"/>
                <w:sz w:val="24"/>
                <w:szCs w:val="24"/>
              </w:rPr>
              <w:t>生活污</w:t>
            </w:r>
            <w:r>
              <w:rPr>
                <w:sz w:val="24"/>
                <w:szCs w:val="24"/>
              </w:rPr>
              <w:t>水产生量为</w:t>
            </w:r>
            <w:r>
              <w:rPr>
                <w:rFonts w:hint="eastAsia"/>
                <w:sz w:val="24"/>
                <w:szCs w:val="24"/>
              </w:rPr>
              <w:t>56</w:t>
            </w:r>
            <w:r>
              <w:rPr>
                <w:sz w:val="24"/>
                <w:szCs w:val="24"/>
              </w:rPr>
              <w:t>t/a，生活污水</w:t>
            </w:r>
            <w:r>
              <w:rPr>
                <w:rFonts w:hint="eastAsia"/>
                <w:sz w:val="24"/>
                <w:szCs w:val="24"/>
              </w:rPr>
              <w:t>经</w:t>
            </w:r>
            <w:r>
              <w:rPr>
                <w:sz w:val="24"/>
                <w:szCs w:val="24"/>
              </w:rPr>
              <w:t>地埋式污水处理设施处理达标</w:t>
            </w:r>
            <w:r>
              <w:rPr>
                <w:rFonts w:hint="eastAsia"/>
                <w:sz w:val="24"/>
                <w:szCs w:val="24"/>
              </w:rPr>
              <w:t>后回用于厂区绿化。本项目产生的废水不外排</w:t>
            </w:r>
            <w:r>
              <w:rPr>
                <w:sz w:val="24"/>
                <w:szCs w:val="24"/>
              </w:rPr>
              <w:t>。</w:t>
            </w:r>
          </w:p>
          <w:p>
            <w:pPr>
              <w:spacing w:line="360" w:lineRule="auto"/>
              <w:ind w:firstLine="480" w:firstLineChars="200"/>
              <w:rPr>
                <w:sz w:val="24"/>
                <w:szCs w:val="24"/>
              </w:rPr>
            </w:pPr>
            <w:r>
              <w:rPr>
                <w:sz w:val="24"/>
                <w:szCs w:val="24"/>
              </w:rPr>
              <w:t>（2）供电</w:t>
            </w:r>
          </w:p>
          <w:p>
            <w:pPr>
              <w:spacing w:line="360" w:lineRule="auto"/>
              <w:ind w:firstLine="480" w:firstLineChars="200"/>
              <w:rPr>
                <w:sz w:val="24"/>
                <w:szCs w:val="24"/>
              </w:rPr>
            </w:pPr>
            <w:r>
              <w:rPr>
                <w:sz w:val="24"/>
                <w:szCs w:val="24"/>
              </w:rPr>
              <w:t>建设项目用电量</w:t>
            </w:r>
            <w:r>
              <w:rPr>
                <w:rFonts w:hint="eastAsia"/>
                <w:sz w:val="24"/>
                <w:szCs w:val="24"/>
              </w:rPr>
              <w:t>约</w:t>
            </w:r>
            <w:r>
              <w:rPr>
                <w:sz w:val="24"/>
                <w:szCs w:val="24"/>
              </w:rPr>
              <w:t>为</w:t>
            </w:r>
            <w:r>
              <w:rPr>
                <w:rFonts w:hint="eastAsia"/>
                <w:sz w:val="24"/>
                <w:szCs w:val="24"/>
              </w:rPr>
              <w:t>50</w:t>
            </w:r>
            <w:r>
              <w:rPr>
                <w:sz w:val="24"/>
                <w:szCs w:val="24"/>
              </w:rPr>
              <w:t>万</w:t>
            </w:r>
            <w:r>
              <w:rPr>
                <w:rFonts w:hint="eastAsia"/>
                <w:sz w:val="24"/>
                <w:szCs w:val="24"/>
              </w:rPr>
              <w:t>千瓦时</w:t>
            </w:r>
            <w:r>
              <w:rPr>
                <w:sz w:val="24"/>
                <w:szCs w:val="24"/>
              </w:rPr>
              <w:t>/a，由市政电网提供。</w:t>
            </w:r>
          </w:p>
          <w:p>
            <w:pPr>
              <w:spacing w:line="360" w:lineRule="auto"/>
              <w:ind w:firstLine="480" w:firstLineChars="200"/>
              <w:rPr>
                <w:sz w:val="24"/>
                <w:szCs w:val="24"/>
              </w:rPr>
            </w:pPr>
            <w:r>
              <w:rPr>
                <w:sz w:val="24"/>
                <w:szCs w:val="24"/>
              </w:rPr>
              <w:t>（</w:t>
            </w:r>
            <w:r>
              <w:rPr>
                <w:rFonts w:hint="eastAsia"/>
                <w:sz w:val="24"/>
                <w:szCs w:val="24"/>
              </w:rPr>
              <w:t>3</w:t>
            </w:r>
            <w:r>
              <w:rPr>
                <w:sz w:val="24"/>
                <w:szCs w:val="24"/>
              </w:rPr>
              <w:t>）绿化</w:t>
            </w:r>
          </w:p>
          <w:p>
            <w:pPr>
              <w:spacing w:line="360" w:lineRule="auto"/>
              <w:ind w:firstLine="480" w:firstLineChars="200"/>
              <w:rPr>
                <w:sz w:val="24"/>
                <w:szCs w:val="24"/>
              </w:rPr>
            </w:pPr>
            <w:r>
              <w:rPr>
                <w:sz w:val="24"/>
                <w:szCs w:val="24"/>
              </w:rPr>
              <w:t>本项目占地面积为</w:t>
            </w:r>
            <w:r>
              <w:rPr>
                <w:rFonts w:hint="eastAsia"/>
                <w:sz w:val="24"/>
                <w:szCs w:val="24"/>
              </w:rPr>
              <w:t>2699.83</w:t>
            </w:r>
            <w:r>
              <w:rPr>
                <w:sz w:val="24"/>
                <w:szCs w:val="24"/>
              </w:rPr>
              <w:t>m</w:t>
            </w:r>
            <w:r>
              <w:rPr>
                <w:sz w:val="24"/>
                <w:szCs w:val="24"/>
                <w:vertAlign w:val="superscript"/>
              </w:rPr>
              <w:t>2</w:t>
            </w:r>
            <w:r>
              <w:rPr>
                <w:sz w:val="24"/>
                <w:szCs w:val="24"/>
              </w:rPr>
              <w:t>，绿化面积为</w:t>
            </w:r>
            <w:r>
              <w:rPr>
                <w:rFonts w:hint="eastAsia"/>
                <w:sz w:val="24"/>
                <w:szCs w:val="24"/>
              </w:rPr>
              <w:t>200</w:t>
            </w:r>
            <w:r>
              <w:rPr>
                <w:sz w:val="24"/>
                <w:szCs w:val="24"/>
              </w:rPr>
              <w:t>m</w:t>
            </w:r>
            <w:r>
              <w:rPr>
                <w:sz w:val="24"/>
                <w:szCs w:val="24"/>
                <w:vertAlign w:val="superscript"/>
              </w:rPr>
              <w:t>2</w:t>
            </w:r>
            <w:r>
              <w:rPr>
                <w:sz w:val="24"/>
                <w:szCs w:val="24"/>
              </w:rPr>
              <w:t>，绿化覆盖率为</w:t>
            </w:r>
            <w:r>
              <w:rPr>
                <w:rFonts w:hint="eastAsia"/>
                <w:sz w:val="24"/>
                <w:szCs w:val="24"/>
              </w:rPr>
              <w:t>7.41%</w:t>
            </w:r>
            <w:r>
              <w:rPr>
                <w:sz w:val="24"/>
                <w:szCs w:val="24"/>
              </w:rPr>
              <w:t>。</w:t>
            </w:r>
          </w:p>
          <w:p>
            <w:pPr>
              <w:spacing w:line="360" w:lineRule="auto"/>
              <w:ind w:firstLine="480" w:firstLineChars="200"/>
              <w:rPr>
                <w:sz w:val="24"/>
                <w:szCs w:val="24"/>
              </w:rPr>
            </w:pPr>
            <w:r>
              <w:rPr>
                <w:sz w:val="24"/>
                <w:szCs w:val="24"/>
              </w:rPr>
              <w:t>（</w:t>
            </w:r>
            <w:r>
              <w:rPr>
                <w:rFonts w:hint="eastAsia"/>
                <w:sz w:val="24"/>
                <w:szCs w:val="24"/>
              </w:rPr>
              <w:t>4</w:t>
            </w:r>
            <w:r>
              <w:rPr>
                <w:sz w:val="24"/>
                <w:szCs w:val="24"/>
              </w:rPr>
              <w:t>）储运工程</w:t>
            </w:r>
          </w:p>
          <w:p>
            <w:pPr>
              <w:spacing w:line="360" w:lineRule="auto"/>
              <w:ind w:firstLine="480" w:firstLineChars="200"/>
              <w:rPr>
                <w:sz w:val="24"/>
              </w:rPr>
            </w:pPr>
            <w:r>
              <w:rPr>
                <w:sz w:val="24"/>
              </w:rPr>
              <w:t>建设项目公用工程一览见表1-</w:t>
            </w:r>
            <w:r>
              <w:rPr>
                <w:rFonts w:hint="eastAsia"/>
                <w:sz w:val="24"/>
              </w:rPr>
              <w:t>7</w:t>
            </w:r>
            <w:r>
              <w:rPr>
                <w:sz w:val="24"/>
              </w:rPr>
              <w:t>。</w:t>
            </w:r>
          </w:p>
          <w:p>
            <w:pPr>
              <w:adjustRightInd w:val="0"/>
              <w:snapToGrid w:val="0"/>
              <w:jc w:val="center"/>
              <w:rPr>
                <w:b/>
                <w:sz w:val="24"/>
              </w:rPr>
            </w:pPr>
            <w:r>
              <w:rPr>
                <w:rFonts w:hint="default" w:ascii="Times New Roman" w:hAnsi="Times New Roman" w:cs="Times New Roman"/>
                <w:b/>
                <w:sz w:val="24"/>
              </w:rPr>
              <w:t>表1-7</w:t>
            </w:r>
            <w:r>
              <w:rPr>
                <w:rFonts w:hint="eastAsia"/>
                <w:b/>
                <w:sz w:val="24"/>
              </w:rPr>
              <w:t xml:space="preserve">  </w:t>
            </w:r>
            <w:r>
              <w:rPr>
                <w:b/>
                <w:sz w:val="24"/>
              </w:rPr>
              <w:t>建设项目公用</w:t>
            </w:r>
            <w:r>
              <w:rPr>
                <w:rFonts w:hint="eastAsia"/>
                <w:b/>
                <w:sz w:val="24"/>
              </w:rPr>
              <w:t>及辅助</w:t>
            </w:r>
            <w:r>
              <w:rPr>
                <w:b/>
                <w:sz w:val="24"/>
              </w:rPr>
              <w:t>工程一览表</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30"/>
              <w:gridCol w:w="707"/>
              <w:gridCol w:w="1805"/>
              <w:gridCol w:w="1799"/>
              <w:gridCol w:w="28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684" w:type="pct"/>
                  <w:vAlign w:val="center"/>
                </w:tcPr>
                <w:p>
                  <w:pPr>
                    <w:jc w:val="center"/>
                    <w:rPr>
                      <w:b/>
                      <w:szCs w:val="21"/>
                    </w:rPr>
                  </w:pPr>
                  <w:r>
                    <w:rPr>
                      <w:b/>
                      <w:szCs w:val="21"/>
                    </w:rPr>
                    <w:t>类别</w:t>
                  </w:r>
                </w:p>
              </w:tc>
              <w:tc>
                <w:tcPr>
                  <w:tcW w:w="1521" w:type="pct"/>
                  <w:gridSpan w:val="2"/>
                  <w:vAlign w:val="center"/>
                </w:tcPr>
                <w:p>
                  <w:pPr>
                    <w:jc w:val="center"/>
                    <w:rPr>
                      <w:b/>
                      <w:szCs w:val="21"/>
                    </w:rPr>
                  </w:pPr>
                  <w:r>
                    <w:rPr>
                      <w:b/>
                      <w:szCs w:val="21"/>
                    </w:rPr>
                    <w:t>建设名称</w:t>
                  </w:r>
                </w:p>
              </w:tc>
              <w:tc>
                <w:tcPr>
                  <w:tcW w:w="1089" w:type="pct"/>
                  <w:vAlign w:val="center"/>
                </w:tcPr>
                <w:p>
                  <w:pPr>
                    <w:jc w:val="center"/>
                    <w:rPr>
                      <w:b/>
                      <w:szCs w:val="21"/>
                    </w:rPr>
                  </w:pPr>
                  <w:r>
                    <w:rPr>
                      <w:b/>
                      <w:szCs w:val="21"/>
                    </w:rPr>
                    <w:t>设计能力</w:t>
                  </w:r>
                </w:p>
              </w:tc>
              <w:tc>
                <w:tcPr>
                  <w:tcW w:w="1704" w:type="pct"/>
                  <w:vAlign w:val="center"/>
                </w:tcPr>
                <w:p>
                  <w:pPr>
                    <w:jc w:val="center"/>
                    <w:rPr>
                      <w:b/>
                      <w:szCs w:val="21"/>
                    </w:rPr>
                  </w:pPr>
                  <w:r>
                    <w:rPr>
                      <w:b/>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684" w:type="pct"/>
                  <w:vAlign w:val="center"/>
                </w:tcPr>
                <w:p>
                  <w:pPr>
                    <w:jc w:val="center"/>
                    <w:rPr>
                      <w:szCs w:val="21"/>
                    </w:rPr>
                  </w:pPr>
                  <w:r>
                    <w:rPr>
                      <w:rFonts w:hint="eastAsia"/>
                      <w:szCs w:val="21"/>
                    </w:rPr>
                    <w:t>主体工程</w:t>
                  </w:r>
                </w:p>
              </w:tc>
              <w:tc>
                <w:tcPr>
                  <w:tcW w:w="1521" w:type="pct"/>
                  <w:gridSpan w:val="2"/>
                  <w:vAlign w:val="center"/>
                </w:tcPr>
                <w:p>
                  <w:pPr>
                    <w:jc w:val="center"/>
                    <w:rPr>
                      <w:szCs w:val="21"/>
                    </w:rPr>
                  </w:pPr>
                  <w:r>
                    <w:rPr>
                      <w:rFonts w:hint="eastAsia"/>
                      <w:szCs w:val="21"/>
                      <w:lang w:eastAsia="zh-CN"/>
                    </w:rPr>
                    <w:t>工作</w:t>
                  </w:r>
                  <w:r>
                    <w:rPr>
                      <w:rFonts w:hint="eastAsia"/>
                      <w:szCs w:val="21"/>
                    </w:rPr>
                    <w:t>车间</w:t>
                  </w:r>
                </w:p>
              </w:tc>
              <w:tc>
                <w:tcPr>
                  <w:tcW w:w="1089" w:type="pct"/>
                  <w:vAlign w:val="center"/>
                </w:tcPr>
                <w:p>
                  <w:pPr>
                    <w:jc w:val="center"/>
                    <w:rPr>
                      <w:color w:val="FF0000"/>
                      <w:szCs w:val="21"/>
                      <w:vertAlign w:val="superscript"/>
                    </w:rPr>
                  </w:pPr>
                  <w:r>
                    <w:rPr>
                      <w:rFonts w:hint="eastAsia"/>
                      <w:color w:val="auto"/>
                      <w:szCs w:val="21"/>
                      <w:lang w:val="en-US" w:eastAsia="zh-CN"/>
                    </w:rPr>
                    <w:t>1000</w:t>
                  </w:r>
                  <w:r>
                    <w:rPr>
                      <w:rFonts w:hint="eastAsia"/>
                      <w:color w:val="auto"/>
                      <w:szCs w:val="21"/>
                    </w:rPr>
                    <w:t>m</w:t>
                  </w:r>
                  <w:r>
                    <w:rPr>
                      <w:color w:val="auto"/>
                      <w:szCs w:val="21"/>
                      <w:vertAlign w:val="superscript"/>
                    </w:rPr>
                    <w:t>2</w:t>
                  </w:r>
                </w:p>
              </w:tc>
              <w:tc>
                <w:tcPr>
                  <w:tcW w:w="1704" w:type="pct"/>
                  <w:vAlign w:val="center"/>
                </w:tcPr>
                <w:p>
                  <w:pPr>
                    <w:jc w:val="center"/>
                    <w:rPr>
                      <w:szCs w:val="21"/>
                    </w:rPr>
                  </w:pPr>
                  <w:r>
                    <w:rPr>
                      <w:rFonts w:hint="eastAsia"/>
                      <w:szCs w:val="21"/>
                    </w:rPr>
                    <w:t>建筑面积，1F</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84" w:type="pct"/>
                  <w:vMerge w:val="restart"/>
                  <w:vAlign w:val="center"/>
                </w:tcPr>
                <w:p>
                  <w:pPr>
                    <w:jc w:val="center"/>
                    <w:rPr>
                      <w:szCs w:val="21"/>
                    </w:rPr>
                  </w:pPr>
                  <w:r>
                    <w:rPr>
                      <w:rFonts w:hint="eastAsia"/>
                      <w:szCs w:val="21"/>
                    </w:rPr>
                    <w:t>辅助工程</w:t>
                  </w:r>
                </w:p>
              </w:tc>
              <w:tc>
                <w:tcPr>
                  <w:tcW w:w="1521" w:type="pct"/>
                  <w:gridSpan w:val="2"/>
                  <w:vAlign w:val="center"/>
                </w:tcPr>
                <w:p>
                  <w:pPr>
                    <w:jc w:val="center"/>
                    <w:rPr>
                      <w:szCs w:val="21"/>
                    </w:rPr>
                  </w:pPr>
                  <w:r>
                    <w:rPr>
                      <w:rFonts w:hint="eastAsia"/>
                      <w:szCs w:val="21"/>
                    </w:rPr>
                    <w:t>办公楼</w:t>
                  </w:r>
                </w:p>
              </w:tc>
              <w:tc>
                <w:tcPr>
                  <w:tcW w:w="1089" w:type="pct"/>
                  <w:vAlign w:val="center"/>
                </w:tcPr>
                <w:p>
                  <w:pPr>
                    <w:jc w:val="center"/>
                    <w:rPr>
                      <w:szCs w:val="21"/>
                    </w:rPr>
                  </w:pPr>
                  <w:r>
                    <w:rPr>
                      <w:rFonts w:hint="eastAsia"/>
                      <w:szCs w:val="21"/>
                      <w:lang w:val="en-US" w:eastAsia="zh-CN"/>
                    </w:rPr>
                    <w:t>150</w:t>
                  </w:r>
                  <w:r>
                    <w:rPr>
                      <w:szCs w:val="21"/>
                    </w:rPr>
                    <w:t>m</w:t>
                  </w:r>
                  <w:r>
                    <w:rPr>
                      <w:szCs w:val="21"/>
                      <w:vertAlign w:val="superscript"/>
                    </w:rPr>
                    <w:t>2</w:t>
                  </w:r>
                </w:p>
              </w:tc>
              <w:tc>
                <w:tcPr>
                  <w:tcW w:w="1704" w:type="pct"/>
                  <w:vAlign w:val="center"/>
                </w:tcPr>
                <w:p>
                  <w:pPr>
                    <w:jc w:val="center"/>
                    <w:rPr>
                      <w:szCs w:val="21"/>
                    </w:rPr>
                  </w:pPr>
                  <w:r>
                    <w:rPr>
                      <w:rFonts w:hint="eastAsia"/>
                      <w:szCs w:val="21"/>
                    </w:rPr>
                    <w:t>建筑面积，2F</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84" w:type="pct"/>
                  <w:vMerge w:val="continue"/>
                  <w:vAlign w:val="center"/>
                </w:tcPr>
                <w:p>
                  <w:pPr>
                    <w:jc w:val="center"/>
                    <w:rPr>
                      <w:rFonts w:hint="eastAsia"/>
                      <w:szCs w:val="21"/>
                    </w:rPr>
                  </w:pPr>
                </w:p>
              </w:tc>
              <w:tc>
                <w:tcPr>
                  <w:tcW w:w="1521" w:type="pct"/>
                  <w:gridSpan w:val="2"/>
                  <w:vAlign w:val="center"/>
                </w:tcPr>
                <w:p>
                  <w:pPr>
                    <w:jc w:val="center"/>
                    <w:rPr>
                      <w:rFonts w:hint="eastAsia" w:eastAsia="宋体"/>
                      <w:szCs w:val="21"/>
                      <w:lang w:eastAsia="zh-CN"/>
                    </w:rPr>
                  </w:pPr>
                  <w:r>
                    <w:rPr>
                      <w:rFonts w:hint="eastAsia"/>
                      <w:szCs w:val="21"/>
                      <w:lang w:eastAsia="zh-CN"/>
                    </w:rPr>
                    <w:t>原料仓库</w:t>
                  </w:r>
                </w:p>
              </w:tc>
              <w:tc>
                <w:tcPr>
                  <w:tcW w:w="1089" w:type="pct"/>
                  <w:vAlign w:val="center"/>
                </w:tcPr>
                <w:p>
                  <w:pPr>
                    <w:jc w:val="center"/>
                    <w:rPr>
                      <w:rFonts w:hint="default" w:eastAsia="宋体"/>
                      <w:szCs w:val="21"/>
                      <w:lang w:val="en-US" w:eastAsia="zh-CN"/>
                    </w:rPr>
                  </w:pPr>
                  <w:r>
                    <w:rPr>
                      <w:rFonts w:hint="eastAsia"/>
                      <w:szCs w:val="21"/>
                      <w:lang w:val="en-US" w:eastAsia="zh-CN"/>
                    </w:rPr>
                    <w:t>700m</w:t>
                  </w:r>
                  <w:r>
                    <w:rPr>
                      <w:rFonts w:hint="eastAsia"/>
                      <w:szCs w:val="21"/>
                      <w:vertAlign w:val="superscript"/>
                      <w:lang w:val="en-US" w:eastAsia="zh-CN"/>
                    </w:rPr>
                    <w:t>2</w:t>
                  </w:r>
                </w:p>
              </w:tc>
              <w:tc>
                <w:tcPr>
                  <w:tcW w:w="1704" w:type="pct"/>
                  <w:vAlign w:val="center"/>
                </w:tcPr>
                <w:p>
                  <w:pPr>
                    <w:jc w:val="center"/>
                    <w:rPr>
                      <w:rFonts w:hint="eastAsia"/>
                      <w:szCs w:val="21"/>
                    </w:rPr>
                  </w:pPr>
                  <w:r>
                    <w:rPr>
                      <w:rFonts w:hint="eastAsia"/>
                      <w:szCs w:val="21"/>
                    </w:rPr>
                    <w:t>建筑面积，1F</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84" w:type="pct"/>
                  <w:vMerge w:val="continue"/>
                  <w:vAlign w:val="center"/>
                </w:tcPr>
                <w:p>
                  <w:pPr>
                    <w:jc w:val="center"/>
                    <w:rPr>
                      <w:rFonts w:hint="eastAsia"/>
                      <w:szCs w:val="21"/>
                    </w:rPr>
                  </w:pPr>
                </w:p>
              </w:tc>
              <w:tc>
                <w:tcPr>
                  <w:tcW w:w="1521" w:type="pct"/>
                  <w:gridSpan w:val="2"/>
                  <w:vAlign w:val="center"/>
                </w:tcPr>
                <w:p>
                  <w:pPr>
                    <w:jc w:val="center"/>
                    <w:rPr>
                      <w:rFonts w:hint="eastAsia"/>
                      <w:szCs w:val="21"/>
                      <w:lang w:eastAsia="zh-CN"/>
                    </w:rPr>
                  </w:pPr>
                  <w:r>
                    <w:rPr>
                      <w:rFonts w:hint="eastAsia"/>
                      <w:szCs w:val="21"/>
                      <w:lang w:eastAsia="zh-CN"/>
                    </w:rPr>
                    <w:t>成品仓库</w:t>
                  </w:r>
                </w:p>
              </w:tc>
              <w:tc>
                <w:tcPr>
                  <w:tcW w:w="1089" w:type="pct"/>
                  <w:vAlign w:val="center"/>
                </w:tcPr>
                <w:p>
                  <w:pPr>
                    <w:jc w:val="center"/>
                    <w:rPr>
                      <w:rFonts w:hint="default"/>
                      <w:szCs w:val="21"/>
                      <w:lang w:val="en-US" w:eastAsia="zh-CN"/>
                    </w:rPr>
                  </w:pPr>
                  <w:r>
                    <w:rPr>
                      <w:rFonts w:hint="eastAsia"/>
                      <w:szCs w:val="21"/>
                      <w:lang w:val="en-US" w:eastAsia="zh-CN"/>
                    </w:rPr>
                    <w:t>200m</w:t>
                  </w:r>
                  <w:r>
                    <w:rPr>
                      <w:rFonts w:hint="eastAsia"/>
                      <w:szCs w:val="21"/>
                      <w:vertAlign w:val="superscript"/>
                      <w:lang w:val="en-US" w:eastAsia="zh-CN"/>
                    </w:rPr>
                    <w:t>2</w:t>
                  </w:r>
                </w:p>
              </w:tc>
              <w:tc>
                <w:tcPr>
                  <w:tcW w:w="1704" w:type="pct"/>
                  <w:vAlign w:val="center"/>
                </w:tcPr>
                <w:p>
                  <w:pPr>
                    <w:jc w:val="center"/>
                    <w:rPr>
                      <w:rFonts w:hint="eastAsia"/>
                      <w:szCs w:val="21"/>
                    </w:rPr>
                  </w:pPr>
                  <w:r>
                    <w:rPr>
                      <w:rFonts w:hint="eastAsia"/>
                      <w:szCs w:val="21"/>
                    </w:rPr>
                    <w:t>建筑面积，1F</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84" w:type="pct"/>
                  <w:vMerge w:val="continue"/>
                  <w:vAlign w:val="center"/>
                </w:tcPr>
                <w:p>
                  <w:pPr>
                    <w:jc w:val="center"/>
                    <w:rPr>
                      <w:rFonts w:hint="eastAsia"/>
                      <w:szCs w:val="21"/>
                    </w:rPr>
                  </w:pPr>
                </w:p>
              </w:tc>
              <w:tc>
                <w:tcPr>
                  <w:tcW w:w="1521" w:type="pct"/>
                  <w:gridSpan w:val="2"/>
                  <w:vAlign w:val="center"/>
                </w:tcPr>
                <w:p>
                  <w:pPr>
                    <w:jc w:val="center"/>
                    <w:rPr>
                      <w:rFonts w:hint="eastAsia"/>
                      <w:szCs w:val="21"/>
                      <w:lang w:eastAsia="zh-CN"/>
                    </w:rPr>
                  </w:pPr>
                  <w:r>
                    <w:rPr>
                      <w:rFonts w:hint="eastAsia"/>
                      <w:szCs w:val="21"/>
                      <w:lang w:eastAsia="zh-CN"/>
                    </w:rPr>
                    <w:t>双氧水储罐区</w:t>
                  </w:r>
                </w:p>
              </w:tc>
              <w:tc>
                <w:tcPr>
                  <w:tcW w:w="1089" w:type="pct"/>
                  <w:vAlign w:val="center"/>
                </w:tcPr>
                <w:p>
                  <w:pPr>
                    <w:jc w:val="center"/>
                    <w:rPr>
                      <w:rFonts w:hint="default"/>
                      <w:szCs w:val="21"/>
                      <w:lang w:val="en-US" w:eastAsia="zh-CN"/>
                    </w:rPr>
                  </w:pPr>
                  <w:r>
                    <w:rPr>
                      <w:rFonts w:hint="eastAsia"/>
                      <w:szCs w:val="21"/>
                      <w:lang w:val="en-US" w:eastAsia="zh-CN"/>
                    </w:rPr>
                    <w:t>50m</w:t>
                  </w:r>
                  <w:r>
                    <w:rPr>
                      <w:rFonts w:hint="eastAsia"/>
                      <w:szCs w:val="21"/>
                      <w:vertAlign w:val="superscript"/>
                      <w:lang w:val="en-US" w:eastAsia="zh-CN"/>
                    </w:rPr>
                    <w:t>2</w:t>
                  </w:r>
                </w:p>
              </w:tc>
              <w:tc>
                <w:tcPr>
                  <w:tcW w:w="1704" w:type="pct"/>
                  <w:vAlign w:val="center"/>
                </w:tcPr>
                <w:p>
                  <w:pPr>
                    <w:jc w:val="center"/>
                    <w:rPr>
                      <w:rFonts w:hint="eastAsia"/>
                      <w:szCs w:val="21"/>
                    </w:rPr>
                  </w:pPr>
                  <w:r>
                    <w:rPr>
                      <w:rFonts w:hint="eastAsia"/>
                      <w:szCs w:val="21"/>
                    </w:rPr>
                    <w:t>建筑面积，1F</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684" w:type="pct"/>
                  <w:vMerge w:val="restart"/>
                  <w:vAlign w:val="center"/>
                </w:tcPr>
                <w:p>
                  <w:pPr>
                    <w:jc w:val="center"/>
                    <w:rPr>
                      <w:szCs w:val="21"/>
                    </w:rPr>
                  </w:pPr>
                  <w:r>
                    <w:rPr>
                      <w:szCs w:val="21"/>
                    </w:rPr>
                    <w:t>公用工程</w:t>
                  </w:r>
                </w:p>
              </w:tc>
              <w:tc>
                <w:tcPr>
                  <w:tcW w:w="1521" w:type="pct"/>
                  <w:gridSpan w:val="2"/>
                  <w:vAlign w:val="center"/>
                </w:tcPr>
                <w:p>
                  <w:pPr>
                    <w:jc w:val="center"/>
                    <w:rPr>
                      <w:szCs w:val="21"/>
                    </w:rPr>
                  </w:pPr>
                  <w:r>
                    <w:rPr>
                      <w:szCs w:val="21"/>
                    </w:rPr>
                    <w:t>给水</w:t>
                  </w:r>
                </w:p>
              </w:tc>
              <w:tc>
                <w:tcPr>
                  <w:tcW w:w="1089" w:type="pct"/>
                  <w:vAlign w:val="center"/>
                </w:tcPr>
                <w:p>
                  <w:pPr>
                    <w:jc w:val="center"/>
                    <w:rPr>
                      <w:szCs w:val="21"/>
                    </w:rPr>
                  </w:pPr>
                  <w:r>
                    <w:rPr>
                      <w:rFonts w:hint="eastAsia"/>
                      <w:szCs w:val="21"/>
                    </w:rPr>
                    <w:t>1</w:t>
                  </w:r>
                  <w:r>
                    <w:rPr>
                      <w:rFonts w:hint="eastAsia"/>
                      <w:szCs w:val="21"/>
                      <w:lang w:val="en-US" w:eastAsia="zh-CN"/>
                    </w:rPr>
                    <w:t>10</w:t>
                  </w:r>
                  <w:r>
                    <w:rPr>
                      <w:rFonts w:hint="eastAsia"/>
                      <w:szCs w:val="21"/>
                    </w:rPr>
                    <w:t>t</w:t>
                  </w:r>
                  <w:r>
                    <w:rPr>
                      <w:szCs w:val="21"/>
                    </w:rPr>
                    <w:t>/a</w:t>
                  </w:r>
                </w:p>
              </w:tc>
              <w:tc>
                <w:tcPr>
                  <w:tcW w:w="1704" w:type="pct"/>
                  <w:vAlign w:val="center"/>
                </w:tcPr>
                <w:p>
                  <w:pPr>
                    <w:jc w:val="center"/>
                    <w:rPr>
                      <w:szCs w:val="21"/>
                    </w:rPr>
                  </w:pPr>
                  <w:r>
                    <w:rPr>
                      <w:szCs w:val="21"/>
                    </w:rPr>
                    <w:t>来自</w:t>
                  </w:r>
                  <w:r>
                    <w:rPr>
                      <w:rFonts w:hint="eastAsia"/>
                      <w:szCs w:val="21"/>
                    </w:rPr>
                    <w:t>园区</w:t>
                  </w:r>
                  <w:r>
                    <w:rPr>
                      <w:szCs w:val="21"/>
                    </w:rPr>
                    <w:t>自来水管网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84" w:type="pct"/>
                  <w:vMerge w:val="continue"/>
                  <w:vAlign w:val="center"/>
                </w:tcPr>
                <w:p>
                  <w:pPr>
                    <w:jc w:val="center"/>
                    <w:rPr>
                      <w:szCs w:val="21"/>
                    </w:rPr>
                  </w:pPr>
                </w:p>
              </w:tc>
              <w:tc>
                <w:tcPr>
                  <w:tcW w:w="1521" w:type="pct"/>
                  <w:gridSpan w:val="2"/>
                  <w:vAlign w:val="center"/>
                </w:tcPr>
                <w:p>
                  <w:pPr>
                    <w:jc w:val="center"/>
                    <w:rPr>
                      <w:szCs w:val="21"/>
                    </w:rPr>
                  </w:pPr>
                  <w:r>
                    <w:rPr>
                      <w:szCs w:val="21"/>
                    </w:rPr>
                    <w:t>排水</w:t>
                  </w:r>
                </w:p>
              </w:tc>
              <w:tc>
                <w:tcPr>
                  <w:tcW w:w="1089" w:type="pct"/>
                  <w:vAlign w:val="center"/>
                </w:tcPr>
                <w:p>
                  <w:pPr>
                    <w:jc w:val="center"/>
                    <w:rPr>
                      <w:szCs w:val="21"/>
                    </w:rPr>
                  </w:pPr>
                  <w:r>
                    <w:rPr>
                      <w:rFonts w:hint="eastAsia"/>
                      <w:szCs w:val="21"/>
                    </w:rPr>
                    <w:t>-</w:t>
                  </w:r>
                </w:p>
              </w:tc>
              <w:tc>
                <w:tcPr>
                  <w:tcW w:w="1704" w:type="pct"/>
                  <w:vAlign w:val="center"/>
                </w:tcPr>
                <w:p>
                  <w:pPr>
                    <w:jc w:val="center"/>
                    <w:rPr>
                      <w:szCs w:val="21"/>
                    </w:rPr>
                  </w:pPr>
                  <w:r>
                    <w:rPr>
                      <w:rFonts w:hint="eastAsia"/>
                      <w:szCs w:val="21"/>
                    </w:rPr>
                    <w:t>其中生活污水56t/a经地埋式污水处理设施处理后回用于厂区绿化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684" w:type="pct"/>
                  <w:vMerge w:val="continue"/>
                  <w:vAlign w:val="center"/>
                </w:tcPr>
                <w:p>
                  <w:pPr>
                    <w:jc w:val="center"/>
                    <w:rPr>
                      <w:szCs w:val="21"/>
                    </w:rPr>
                  </w:pPr>
                </w:p>
              </w:tc>
              <w:tc>
                <w:tcPr>
                  <w:tcW w:w="1521" w:type="pct"/>
                  <w:gridSpan w:val="2"/>
                  <w:vAlign w:val="center"/>
                </w:tcPr>
                <w:p>
                  <w:pPr>
                    <w:jc w:val="center"/>
                    <w:rPr>
                      <w:szCs w:val="21"/>
                    </w:rPr>
                  </w:pPr>
                  <w:r>
                    <w:rPr>
                      <w:szCs w:val="21"/>
                    </w:rPr>
                    <w:t>供电</w:t>
                  </w:r>
                </w:p>
              </w:tc>
              <w:tc>
                <w:tcPr>
                  <w:tcW w:w="1089" w:type="pct"/>
                  <w:tcMar>
                    <w:left w:w="0" w:type="dxa"/>
                    <w:right w:w="0" w:type="dxa"/>
                  </w:tcMar>
                  <w:vAlign w:val="center"/>
                </w:tcPr>
                <w:p>
                  <w:pPr>
                    <w:jc w:val="center"/>
                    <w:rPr>
                      <w:spacing w:val="-10"/>
                      <w:szCs w:val="21"/>
                    </w:rPr>
                  </w:pPr>
                  <w:r>
                    <w:rPr>
                      <w:rFonts w:hint="eastAsia"/>
                      <w:szCs w:val="21"/>
                    </w:rPr>
                    <w:t>50</w:t>
                  </w:r>
                  <w:r>
                    <w:rPr>
                      <w:szCs w:val="21"/>
                    </w:rPr>
                    <w:t>万</w:t>
                  </w:r>
                  <w:r>
                    <w:rPr>
                      <w:rFonts w:hint="eastAsia"/>
                      <w:szCs w:val="21"/>
                    </w:rPr>
                    <w:t>千瓦时</w:t>
                  </w:r>
                  <w:r>
                    <w:rPr>
                      <w:szCs w:val="21"/>
                    </w:rPr>
                    <w:t>/a</w:t>
                  </w:r>
                </w:p>
              </w:tc>
              <w:tc>
                <w:tcPr>
                  <w:tcW w:w="1704" w:type="pct"/>
                  <w:vAlign w:val="center"/>
                </w:tcPr>
                <w:p>
                  <w:pPr>
                    <w:jc w:val="center"/>
                    <w:rPr>
                      <w:szCs w:val="21"/>
                    </w:rPr>
                  </w:pPr>
                  <w:r>
                    <w:rPr>
                      <w:szCs w:val="21"/>
                    </w:rPr>
                    <w:t>来自当地电力供应部门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84" w:type="pct"/>
                  <w:vMerge w:val="continue"/>
                  <w:vAlign w:val="center"/>
                </w:tcPr>
                <w:p>
                  <w:pPr>
                    <w:jc w:val="center"/>
                    <w:rPr>
                      <w:szCs w:val="21"/>
                    </w:rPr>
                  </w:pPr>
                </w:p>
              </w:tc>
              <w:tc>
                <w:tcPr>
                  <w:tcW w:w="1521" w:type="pct"/>
                  <w:gridSpan w:val="2"/>
                  <w:vAlign w:val="center"/>
                </w:tcPr>
                <w:p>
                  <w:pPr>
                    <w:jc w:val="center"/>
                    <w:rPr>
                      <w:szCs w:val="21"/>
                    </w:rPr>
                  </w:pPr>
                  <w:r>
                    <w:rPr>
                      <w:szCs w:val="21"/>
                    </w:rPr>
                    <w:t>储运</w:t>
                  </w:r>
                </w:p>
              </w:tc>
              <w:tc>
                <w:tcPr>
                  <w:tcW w:w="1089" w:type="pct"/>
                  <w:vAlign w:val="center"/>
                </w:tcPr>
                <w:p>
                  <w:pPr>
                    <w:jc w:val="center"/>
                    <w:rPr>
                      <w:szCs w:val="21"/>
                    </w:rPr>
                  </w:pPr>
                  <w:r>
                    <w:rPr>
                      <w:rFonts w:hint="eastAsia"/>
                      <w:szCs w:val="21"/>
                    </w:rPr>
                    <w:t>3000t/a</w:t>
                  </w:r>
                </w:p>
              </w:tc>
              <w:tc>
                <w:tcPr>
                  <w:tcW w:w="1704" w:type="pct"/>
                  <w:vAlign w:val="center"/>
                </w:tcPr>
                <w:p>
                  <w:pPr>
                    <w:jc w:val="center"/>
                    <w:rPr>
                      <w:szCs w:val="21"/>
                      <w:vertAlign w:val="superscript"/>
                    </w:rPr>
                  </w:pPr>
                  <w:r>
                    <w:rPr>
                      <w:szCs w:val="21"/>
                    </w:rPr>
                    <w:t>汽车运输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684" w:type="pct"/>
                  <w:vMerge w:val="restart"/>
                  <w:vAlign w:val="center"/>
                </w:tcPr>
                <w:p>
                  <w:pPr>
                    <w:jc w:val="center"/>
                    <w:rPr>
                      <w:szCs w:val="21"/>
                    </w:rPr>
                  </w:pPr>
                  <w:r>
                    <w:rPr>
                      <w:rFonts w:hint="eastAsia"/>
                      <w:szCs w:val="21"/>
                    </w:rPr>
                    <w:t>环保工程</w:t>
                  </w:r>
                </w:p>
              </w:tc>
              <w:tc>
                <w:tcPr>
                  <w:tcW w:w="428" w:type="pct"/>
                  <w:vAlign w:val="center"/>
                </w:tcPr>
                <w:p>
                  <w:pPr>
                    <w:jc w:val="center"/>
                    <w:rPr>
                      <w:szCs w:val="21"/>
                    </w:rPr>
                  </w:pPr>
                  <w:r>
                    <w:rPr>
                      <w:rFonts w:hint="eastAsia"/>
                      <w:szCs w:val="21"/>
                    </w:rPr>
                    <w:t>废气</w:t>
                  </w:r>
                </w:p>
              </w:tc>
              <w:tc>
                <w:tcPr>
                  <w:tcW w:w="1093" w:type="pct"/>
                  <w:vAlign w:val="center"/>
                </w:tcPr>
                <w:p>
                  <w:pPr>
                    <w:jc w:val="center"/>
                    <w:rPr>
                      <w:szCs w:val="21"/>
                    </w:rPr>
                  </w:pPr>
                  <w:r>
                    <w:rPr>
                      <w:rFonts w:hint="eastAsia"/>
                      <w:color w:val="000000" w:themeColor="text1"/>
                      <w:szCs w:val="21"/>
                    </w:rPr>
                    <w:t>集气罩</w:t>
                  </w:r>
                  <w:r>
                    <w:rPr>
                      <w:color w:val="000000" w:themeColor="text1"/>
                      <w:szCs w:val="21"/>
                    </w:rPr>
                    <w:t>+</w:t>
                  </w:r>
                  <w:r>
                    <w:rPr>
                      <w:rFonts w:hint="eastAsia"/>
                      <w:color w:val="000000" w:themeColor="text1"/>
                      <w:szCs w:val="21"/>
                      <w:lang w:eastAsia="zh-CN"/>
                    </w:rPr>
                    <w:t>除尘器</w:t>
                  </w:r>
                  <w:r>
                    <w:rPr>
                      <w:rStyle w:val="40"/>
                      <w:color w:val="000000" w:themeColor="text1"/>
                    </w:rPr>
                    <w:t>+15m</w:t>
                  </w:r>
                  <w:r>
                    <w:rPr>
                      <w:rStyle w:val="40"/>
                      <w:rFonts w:hint="eastAsia"/>
                      <w:color w:val="000000" w:themeColor="text1"/>
                    </w:rPr>
                    <w:t>排气筒（1#）</w:t>
                  </w:r>
                </w:p>
              </w:tc>
              <w:tc>
                <w:tcPr>
                  <w:tcW w:w="1089" w:type="pct"/>
                  <w:vAlign w:val="center"/>
                </w:tcPr>
                <w:p>
                  <w:pPr>
                    <w:jc w:val="center"/>
                    <w:rPr>
                      <w:szCs w:val="21"/>
                    </w:rPr>
                  </w:pPr>
                  <w:r>
                    <w:rPr>
                      <w:rFonts w:hint="eastAsia"/>
                      <w:szCs w:val="21"/>
                    </w:rPr>
                    <w:t>收集效率90%，处理效率99%</w:t>
                  </w:r>
                </w:p>
              </w:tc>
              <w:tc>
                <w:tcPr>
                  <w:tcW w:w="1704" w:type="pct"/>
                  <w:vAlign w:val="center"/>
                </w:tcPr>
                <w:p>
                  <w:pPr>
                    <w:jc w:val="center"/>
                    <w:rPr>
                      <w:szCs w:val="21"/>
                    </w:rPr>
                  </w:pPr>
                  <w:r>
                    <w:rPr>
                      <w:rFonts w:hint="eastAsia"/>
                      <w:szCs w:val="21"/>
                    </w:rPr>
                    <w:t>新增一套，风量为5000m</w:t>
                  </w:r>
                  <w:r>
                    <w:rPr>
                      <w:rFonts w:hint="eastAsia"/>
                      <w:szCs w:val="21"/>
                      <w:vertAlign w:val="superscript"/>
                    </w:rPr>
                    <w:t>3</w:t>
                  </w:r>
                  <w:r>
                    <w:rPr>
                      <w:rFonts w:hint="eastAsia"/>
                      <w:szCs w:val="21"/>
                    </w:rPr>
                    <w:t>/h，达标排放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684" w:type="pct"/>
                  <w:vMerge w:val="continue"/>
                  <w:vAlign w:val="center"/>
                </w:tcPr>
                <w:p>
                  <w:pPr>
                    <w:jc w:val="center"/>
                    <w:rPr>
                      <w:szCs w:val="21"/>
                    </w:rPr>
                  </w:pPr>
                </w:p>
              </w:tc>
              <w:tc>
                <w:tcPr>
                  <w:tcW w:w="428" w:type="pct"/>
                  <w:vAlign w:val="center"/>
                </w:tcPr>
                <w:p>
                  <w:pPr>
                    <w:jc w:val="center"/>
                    <w:rPr>
                      <w:szCs w:val="21"/>
                    </w:rPr>
                  </w:pPr>
                  <w:r>
                    <w:rPr>
                      <w:rFonts w:hint="eastAsia"/>
                      <w:szCs w:val="21"/>
                    </w:rPr>
                    <w:t>废水</w:t>
                  </w:r>
                </w:p>
              </w:tc>
              <w:tc>
                <w:tcPr>
                  <w:tcW w:w="1093" w:type="pct"/>
                  <w:vAlign w:val="center"/>
                </w:tcPr>
                <w:p>
                  <w:pPr>
                    <w:jc w:val="center"/>
                    <w:rPr>
                      <w:szCs w:val="21"/>
                    </w:rPr>
                  </w:pPr>
                  <w:r>
                    <w:rPr>
                      <w:rFonts w:hint="eastAsia"/>
                      <w:szCs w:val="21"/>
                    </w:rPr>
                    <w:t>地埋式污水处理设施</w:t>
                  </w:r>
                </w:p>
              </w:tc>
              <w:tc>
                <w:tcPr>
                  <w:tcW w:w="1089" w:type="pct"/>
                  <w:vAlign w:val="center"/>
                </w:tcPr>
                <w:p>
                  <w:pPr>
                    <w:jc w:val="center"/>
                    <w:rPr>
                      <w:szCs w:val="21"/>
                    </w:rPr>
                  </w:pPr>
                  <w:r>
                    <w:rPr>
                      <w:rFonts w:hint="eastAsia"/>
                    </w:rPr>
                    <w:t>处理能力为0.2</w:t>
                  </w:r>
                  <w:r>
                    <w:t>m</w:t>
                  </w:r>
                  <w:r>
                    <w:rPr>
                      <w:vertAlign w:val="superscript"/>
                    </w:rPr>
                    <w:t>3</w:t>
                  </w:r>
                  <w:r>
                    <w:rPr>
                      <w:rFonts w:hint="eastAsia"/>
                      <w:szCs w:val="21"/>
                    </w:rPr>
                    <w:t>/d</w:t>
                  </w:r>
                </w:p>
              </w:tc>
              <w:tc>
                <w:tcPr>
                  <w:tcW w:w="1704" w:type="pct"/>
                  <w:vAlign w:val="center"/>
                </w:tcPr>
                <w:p>
                  <w:pPr>
                    <w:jc w:val="center"/>
                    <w:rPr>
                      <w:szCs w:val="21"/>
                    </w:rPr>
                  </w:pPr>
                  <w:r>
                    <w:rPr>
                      <w:rFonts w:hint="eastAsia"/>
                      <w:szCs w:val="21"/>
                    </w:rPr>
                    <w:t>新增一个，达标排放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684" w:type="pct"/>
                  <w:vMerge w:val="continue"/>
                  <w:vAlign w:val="center"/>
                </w:tcPr>
                <w:p>
                  <w:pPr>
                    <w:jc w:val="center"/>
                    <w:rPr>
                      <w:szCs w:val="21"/>
                    </w:rPr>
                  </w:pPr>
                </w:p>
              </w:tc>
              <w:tc>
                <w:tcPr>
                  <w:tcW w:w="428" w:type="pct"/>
                  <w:vAlign w:val="center"/>
                </w:tcPr>
                <w:p>
                  <w:pPr>
                    <w:jc w:val="center"/>
                    <w:rPr>
                      <w:szCs w:val="21"/>
                    </w:rPr>
                  </w:pPr>
                  <w:r>
                    <w:rPr>
                      <w:rFonts w:hint="eastAsia"/>
                      <w:szCs w:val="21"/>
                    </w:rPr>
                    <w:t>噪声</w:t>
                  </w:r>
                </w:p>
              </w:tc>
              <w:tc>
                <w:tcPr>
                  <w:tcW w:w="1093" w:type="pct"/>
                  <w:vAlign w:val="center"/>
                </w:tcPr>
                <w:p>
                  <w:pPr>
                    <w:jc w:val="center"/>
                    <w:rPr>
                      <w:szCs w:val="21"/>
                    </w:rPr>
                  </w:pPr>
                  <w:r>
                    <w:rPr>
                      <w:rFonts w:hint="eastAsia"/>
                      <w:szCs w:val="21"/>
                    </w:rPr>
                    <w:t>隔声、减振</w:t>
                  </w:r>
                </w:p>
              </w:tc>
              <w:tc>
                <w:tcPr>
                  <w:tcW w:w="1089" w:type="pct"/>
                  <w:vAlign w:val="center"/>
                </w:tcPr>
                <w:p>
                  <w:pPr>
                    <w:jc w:val="center"/>
                    <w:rPr>
                      <w:szCs w:val="21"/>
                    </w:rPr>
                  </w:pPr>
                  <w:r>
                    <w:rPr>
                      <w:rFonts w:hint="eastAsia" w:cs="宋体"/>
                    </w:rPr>
                    <w:t>降噪量</w:t>
                  </w:r>
                  <w:r>
                    <w:t>2</w:t>
                  </w:r>
                  <w:r>
                    <w:rPr>
                      <w:rFonts w:hint="eastAsia"/>
                      <w:lang w:val="en-US" w:eastAsia="zh-CN"/>
                    </w:rPr>
                    <w:t>5</w:t>
                  </w:r>
                  <w:r>
                    <w:t>dB</w:t>
                  </w:r>
                  <w:r>
                    <w:rPr>
                      <w:rFonts w:hint="eastAsia" w:cs="宋体"/>
                    </w:rPr>
                    <w:t>（</w:t>
                  </w:r>
                  <w:r>
                    <w:t>A</w:t>
                  </w:r>
                  <w:r>
                    <w:rPr>
                      <w:rFonts w:hint="eastAsia" w:cs="宋体"/>
                    </w:rPr>
                    <w:t>）</w:t>
                  </w:r>
                </w:p>
              </w:tc>
              <w:tc>
                <w:tcPr>
                  <w:tcW w:w="1704" w:type="pct"/>
                  <w:vAlign w:val="center"/>
                </w:tcPr>
                <w:p>
                  <w:pPr>
                    <w:jc w:val="center"/>
                    <w:rPr>
                      <w:szCs w:val="21"/>
                    </w:rPr>
                  </w:pPr>
                  <w:r>
                    <w:rPr>
                      <w:rFonts w:hint="eastAsia"/>
                      <w:szCs w:val="21"/>
                    </w:rPr>
                    <w:t>新增，达标排放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684" w:type="pct"/>
                  <w:vMerge w:val="continue"/>
                  <w:vAlign w:val="center"/>
                </w:tcPr>
                <w:p>
                  <w:pPr>
                    <w:jc w:val="center"/>
                    <w:rPr>
                      <w:szCs w:val="21"/>
                    </w:rPr>
                  </w:pPr>
                </w:p>
              </w:tc>
              <w:tc>
                <w:tcPr>
                  <w:tcW w:w="428" w:type="pct"/>
                  <w:vMerge w:val="restart"/>
                  <w:vAlign w:val="center"/>
                </w:tcPr>
                <w:p>
                  <w:pPr>
                    <w:jc w:val="center"/>
                    <w:rPr>
                      <w:szCs w:val="21"/>
                    </w:rPr>
                  </w:pPr>
                  <w:r>
                    <w:rPr>
                      <w:rFonts w:hint="eastAsia"/>
                      <w:szCs w:val="21"/>
                    </w:rPr>
                    <w:t>固废</w:t>
                  </w:r>
                </w:p>
              </w:tc>
              <w:tc>
                <w:tcPr>
                  <w:tcW w:w="1093" w:type="pct"/>
                  <w:vAlign w:val="center"/>
                </w:tcPr>
                <w:p>
                  <w:pPr>
                    <w:jc w:val="center"/>
                    <w:rPr>
                      <w:szCs w:val="21"/>
                    </w:rPr>
                  </w:pPr>
                  <w:r>
                    <w:rPr>
                      <w:rFonts w:hint="eastAsia"/>
                      <w:szCs w:val="21"/>
                    </w:rPr>
                    <w:t>一般固废堆场</w:t>
                  </w:r>
                </w:p>
              </w:tc>
              <w:tc>
                <w:tcPr>
                  <w:tcW w:w="1089" w:type="pct"/>
                  <w:vAlign w:val="center"/>
                </w:tcPr>
                <w:p>
                  <w:pPr>
                    <w:jc w:val="center"/>
                    <w:rPr>
                      <w:kern w:val="0"/>
                      <w:szCs w:val="21"/>
                    </w:rPr>
                  </w:pPr>
                  <w:r>
                    <w:rPr>
                      <w:rFonts w:hint="eastAsia"/>
                    </w:rPr>
                    <w:t>10</w:t>
                  </w:r>
                  <w:r>
                    <w:t>m</w:t>
                  </w:r>
                  <w:r>
                    <w:rPr>
                      <w:vertAlign w:val="superscript"/>
                    </w:rPr>
                    <w:t>3</w:t>
                  </w:r>
                </w:p>
              </w:tc>
              <w:tc>
                <w:tcPr>
                  <w:tcW w:w="1704" w:type="pct"/>
                  <w:vAlign w:val="center"/>
                </w:tcPr>
                <w:p>
                  <w:pPr>
                    <w:jc w:val="center"/>
                    <w:rPr>
                      <w:szCs w:val="21"/>
                    </w:rPr>
                  </w:pPr>
                  <w:r>
                    <w:rPr>
                      <w:rFonts w:hint="eastAsia"/>
                      <w:szCs w:val="21"/>
                    </w:rPr>
                    <w:t>新增一座，妥善处置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684" w:type="pct"/>
                  <w:vMerge w:val="continue"/>
                  <w:vAlign w:val="center"/>
                </w:tcPr>
                <w:p>
                  <w:pPr>
                    <w:jc w:val="center"/>
                    <w:rPr>
                      <w:szCs w:val="21"/>
                    </w:rPr>
                  </w:pPr>
                </w:p>
              </w:tc>
              <w:tc>
                <w:tcPr>
                  <w:tcW w:w="428" w:type="pct"/>
                  <w:vMerge w:val="continue"/>
                  <w:vAlign w:val="center"/>
                </w:tcPr>
                <w:p>
                  <w:pPr>
                    <w:jc w:val="center"/>
                    <w:rPr>
                      <w:szCs w:val="21"/>
                    </w:rPr>
                  </w:pPr>
                </w:p>
              </w:tc>
              <w:tc>
                <w:tcPr>
                  <w:tcW w:w="1093" w:type="pct"/>
                  <w:vAlign w:val="center"/>
                </w:tcPr>
                <w:p>
                  <w:pPr>
                    <w:jc w:val="center"/>
                    <w:rPr>
                      <w:szCs w:val="21"/>
                    </w:rPr>
                  </w:pPr>
                  <w:r>
                    <w:rPr>
                      <w:rFonts w:hint="eastAsia"/>
                      <w:szCs w:val="21"/>
                    </w:rPr>
                    <w:t>垃圾桶</w:t>
                  </w:r>
                </w:p>
              </w:tc>
              <w:tc>
                <w:tcPr>
                  <w:tcW w:w="1089" w:type="pct"/>
                  <w:vAlign w:val="center"/>
                </w:tcPr>
                <w:p>
                  <w:pPr>
                    <w:jc w:val="center"/>
                  </w:pPr>
                  <w:r>
                    <w:rPr>
                      <w:rFonts w:hint="eastAsia"/>
                    </w:rPr>
                    <w:t>若干</w:t>
                  </w:r>
                </w:p>
              </w:tc>
              <w:tc>
                <w:tcPr>
                  <w:tcW w:w="1704" w:type="pct"/>
                  <w:vAlign w:val="center"/>
                </w:tcPr>
                <w:p>
                  <w:pPr>
                    <w:jc w:val="center"/>
                    <w:rPr>
                      <w:szCs w:val="21"/>
                    </w:rPr>
                  </w:pPr>
                  <w:r>
                    <w:rPr>
                      <w:rFonts w:hint="eastAsia"/>
                      <w:szCs w:val="21"/>
                    </w:rPr>
                    <w:t>-</w:t>
                  </w:r>
                </w:p>
              </w:tc>
            </w:tr>
          </w:tbl>
          <w:p>
            <w:pPr>
              <w:spacing w:beforeLines="50" w:line="360" w:lineRule="auto"/>
              <w:ind w:firstLine="480" w:firstLineChars="200"/>
              <w:rPr>
                <w:sz w:val="24"/>
              </w:rPr>
            </w:pPr>
            <w:r>
              <w:rPr>
                <w:rFonts w:hint="eastAsia"/>
                <w:sz w:val="24"/>
              </w:rPr>
              <w:t>5</w:t>
            </w:r>
            <w:r>
              <w:rPr>
                <w:sz w:val="24"/>
              </w:rPr>
              <w:t>、职工人数及工作制度</w:t>
            </w:r>
          </w:p>
          <w:p>
            <w:pPr>
              <w:spacing w:line="360" w:lineRule="auto"/>
              <w:ind w:firstLine="480" w:firstLineChars="200"/>
              <w:rPr>
                <w:sz w:val="24"/>
              </w:rPr>
            </w:pPr>
            <w:r>
              <w:rPr>
                <w:sz w:val="24"/>
              </w:rPr>
              <w:t>建设项目职工定员</w:t>
            </w:r>
            <w:r>
              <w:rPr>
                <w:rFonts w:hint="eastAsia"/>
                <w:sz w:val="24"/>
              </w:rPr>
              <w:t>5</w:t>
            </w:r>
            <w:r>
              <w:rPr>
                <w:sz w:val="24"/>
              </w:rPr>
              <w:t>人。</w:t>
            </w:r>
            <w:r>
              <w:rPr>
                <w:rFonts w:hint="eastAsia"/>
                <w:sz w:val="24"/>
              </w:rPr>
              <w:t>建设项目不提供食宿。</w:t>
            </w:r>
          </w:p>
          <w:p>
            <w:pPr>
              <w:spacing w:line="360" w:lineRule="auto"/>
              <w:ind w:firstLine="480" w:firstLineChars="200"/>
              <w:rPr>
                <w:sz w:val="24"/>
              </w:rPr>
            </w:pPr>
            <w:r>
              <w:rPr>
                <w:sz w:val="24"/>
              </w:rPr>
              <w:t>工作制度：生产为</w:t>
            </w:r>
            <w:r>
              <w:rPr>
                <w:rFonts w:hint="eastAsia"/>
                <w:sz w:val="24"/>
              </w:rPr>
              <w:t>一</w:t>
            </w:r>
            <w:r>
              <w:rPr>
                <w:sz w:val="24"/>
              </w:rPr>
              <w:t>班制，每班8h，年工作日</w:t>
            </w:r>
            <w:r>
              <w:rPr>
                <w:rFonts w:hint="eastAsia"/>
                <w:sz w:val="24"/>
              </w:rPr>
              <w:t>280</w:t>
            </w:r>
            <w:r>
              <w:rPr>
                <w:sz w:val="24"/>
              </w:rPr>
              <w:t>天，年工作时数</w:t>
            </w:r>
            <w:r>
              <w:rPr>
                <w:rFonts w:hint="eastAsia"/>
                <w:sz w:val="24"/>
              </w:rPr>
              <w:t>2240</w:t>
            </w:r>
            <w:r>
              <w:rPr>
                <w:sz w:val="24"/>
              </w:rPr>
              <w:t>h。</w:t>
            </w:r>
          </w:p>
          <w:p>
            <w:pPr>
              <w:spacing w:line="360" w:lineRule="auto"/>
              <w:ind w:firstLine="480" w:firstLineChars="200"/>
              <w:rPr>
                <w:sz w:val="24"/>
              </w:rPr>
            </w:pPr>
            <w:r>
              <w:rPr>
                <w:rFonts w:hint="eastAsia"/>
                <w:sz w:val="24"/>
              </w:rPr>
              <w:t>6、周边情况</w:t>
            </w:r>
          </w:p>
          <w:p>
            <w:pPr>
              <w:spacing w:line="360" w:lineRule="auto"/>
              <w:ind w:firstLine="480" w:firstLineChars="200"/>
              <w:rPr>
                <w:sz w:val="24"/>
                <w:szCs w:val="24"/>
              </w:rPr>
            </w:pPr>
            <w:r>
              <w:rPr>
                <w:rFonts w:hint="eastAsia"/>
                <w:sz w:val="24"/>
                <w:szCs w:val="24"/>
              </w:rPr>
              <w:t>沭阳县光旺木制品有限公司木质纤维粉加工、销售</w:t>
            </w:r>
            <w:r>
              <w:rPr>
                <w:sz w:val="24"/>
                <w:szCs w:val="24"/>
              </w:rPr>
              <w:t>项目选址</w:t>
            </w:r>
            <w:r>
              <w:rPr>
                <w:rFonts w:hint="eastAsia"/>
                <w:sz w:val="24"/>
                <w:szCs w:val="24"/>
              </w:rPr>
              <w:t>于</w:t>
            </w:r>
            <w:r>
              <w:rPr>
                <w:rFonts w:hint="eastAsia" w:hAnsi="宋体"/>
                <w:sz w:val="24"/>
                <w:szCs w:val="24"/>
              </w:rPr>
              <w:t>沭阳县龙庙镇朱庄村三组</w:t>
            </w:r>
            <w:r>
              <w:rPr>
                <w:sz w:val="24"/>
                <w:szCs w:val="24"/>
              </w:rPr>
              <w:t>38</w:t>
            </w:r>
            <w:r>
              <w:rPr>
                <w:rFonts w:hint="eastAsia" w:hAnsi="宋体"/>
                <w:sz w:val="24"/>
                <w:szCs w:val="24"/>
              </w:rPr>
              <w:t>号</w:t>
            </w:r>
            <w:r>
              <w:rPr>
                <w:sz w:val="24"/>
                <w:szCs w:val="24"/>
              </w:rPr>
              <w:t>。</w:t>
            </w:r>
            <w:r>
              <w:rPr>
                <w:rFonts w:hint="eastAsia"/>
                <w:sz w:val="24"/>
                <w:szCs w:val="24"/>
              </w:rPr>
              <w:t>本项目</w:t>
            </w:r>
            <w:r>
              <w:rPr>
                <w:sz w:val="24"/>
                <w:szCs w:val="24"/>
              </w:rPr>
              <w:t>厂区东侧为</w:t>
            </w:r>
            <w:r>
              <w:rPr>
                <w:rFonts w:hint="eastAsia"/>
                <w:sz w:val="24"/>
                <w:szCs w:val="24"/>
              </w:rPr>
              <w:t>空地，南侧为空地</w:t>
            </w:r>
            <w:r>
              <w:rPr>
                <w:sz w:val="24"/>
                <w:szCs w:val="24"/>
              </w:rPr>
              <w:t>，</w:t>
            </w:r>
            <w:r>
              <w:rPr>
                <w:rFonts w:hint="eastAsia"/>
                <w:sz w:val="24"/>
                <w:szCs w:val="24"/>
              </w:rPr>
              <w:t>西侧为周光早木品厂</w:t>
            </w:r>
            <w:r>
              <w:rPr>
                <w:sz w:val="24"/>
                <w:szCs w:val="24"/>
              </w:rPr>
              <w:t>，</w:t>
            </w:r>
            <w:r>
              <w:rPr>
                <w:rFonts w:hint="eastAsia"/>
                <w:sz w:val="24"/>
                <w:szCs w:val="24"/>
              </w:rPr>
              <w:t>北侧为沈庄。</w:t>
            </w:r>
            <w:r>
              <w:rPr>
                <w:sz w:val="24"/>
                <w:szCs w:val="24"/>
              </w:rPr>
              <w:t>本项目具体地理位置见附图1，周边300m环境概况见附图2。</w:t>
            </w:r>
          </w:p>
          <w:p>
            <w:pPr>
              <w:spacing w:line="360" w:lineRule="auto"/>
              <w:ind w:firstLine="480" w:firstLineChars="200"/>
              <w:rPr>
                <w:sz w:val="24"/>
                <w:szCs w:val="24"/>
              </w:rPr>
            </w:pPr>
            <w:r>
              <w:rPr>
                <w:rFonts w:hint="eastAsia"/>
                <w:sz w:val="24"/>
                <w:szCs w:val="24"/>
              </w:rPr>
              <w:t>7</w:t>
            </w:r>
            <w:r>
              <w:rPr>
                <w:sz w:val="24"/>
                <w:szCs w:val="24"/>
              </w:rPr>
              <w:t>、厂区平面布置情况</w:t>
            </w:r>
          </w:p>
          <w:p>
            <w:pPr>
              <w:spacing w:line="360" w:lineRule="auto"/>
              <w:ind w:firstLine="480" w:firstLineChars="200"/>
              <w:rPr>
                <w:sz w:val="24"/>
              </w:rPr>
            </w:pPr>
            <w:r>
              <w:rPr>
                <w:rFonts w:hint="eastAsia"/>
                <w:sz w:val="24"/>
              </w:rPr>
              <w:t>本项目总平面布置原则：在满足规划条件基础上，做到功能分区明确，总平面布置紧凑、节约用地；生产物流顺畅，运费能耗最小；符合各种防护间距，确保生产安全；根据当地的自然条件，做到因地制宜。</w:t>
            </w:r>
          </w:p>
          <w:p>
            <w:pPr>
              <w:spacing w:line="360" w:lineRule="auto"/>
              <w:ind w:firstLine="480" w:firstLineChars="200"/>
              <w:rPr>
                <w:sz w:val="24"/>
              </w:rPr>
            </w:pPr>
            <w:r>
              <w:rPr>
                <w:rFonts w:hint="eastAsia"/>
                <w:sz w:val="24"/>
              </w:rPr>
              <w:t>本项目平面布置概述：厂内包含2栋建筑，包含两个生产车间和办公楼。办公楼位于东侧，两个生产车间以南北方向布置，中间留有足够通道，方便运输。</w:t>
            </w:r>
            <w:r>
              <w:rPr>
                <w:rFonts w:hint="eastAsia"/>
                <w:sz w:val="24"/>
                <w:szCs w:val="24"/>
              </w:rPr>
              <w:t>厂区沿主要厂房四周都留有消防通道或布置了运输道路，车道宽度不小于4m，便于大型消防车的通行，同时按规范设置了室内及室外消火栓。</w:t>
            </w:r>
          </w:p>
          <w:p>
            <w:pPr>
              <w:spacing w:line="324" w:lineRule="auto"/>
              <w:ind w:firstLine="480" w:firstLineChars="200"/>
              <w:rPr>
                <w:sz w:val="24"/>
                <w:szCs w:val="24"/>
              </w:rPr>
            </w:pPr>
            <w:r>
              <w:rPr>
                <w:rFonts w:hint="eastAsia"/>
                <w:sz w:val="24"/>
                <w:szCs w:val="24"/>
              </w:rPr>
              <w:t>纵观总厂区平面布置，各分区的布置规划整齐，既方便内外交通联系，又方便原辅材料和产品的运输。</w:t>
            </w:r>
          </w:p>
          <w:p>
            <w:pPr>
              <w:spacing w:line="360" w:lineRule="auto"/>
              <w:ind w:firstLine="480" w:firstLineChars="200"/>
              <w:rPr>
                <w:sz w:val="24"/>
              </w:rPr>
            </w:pPr>
            <w:r>
              <w:rPr>
                <w:sz w:val="24"/>
              </w:rPr>
              <w:t>厂区具体平面布置详见附图三。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8472" w:type="dxa"/>
            <w:gridSpan w:val="14"/>
          </w:tcPr>
          <w:p>
            <w:pPr>
              <w:rPr>
                <w:b/>
                <w:bCs/>
                <w:sz w:val="24"/>
              </w:rPr>
            </w:pPr>
            <w:r>
              <w:br w:type="page"/>
            </w:r>
            <w:r>
              <w:rPr>
                <w:b/>
                <w:bCs/>
                <w:sz w:val="24"/>
              </w:rPr>
              <w:t>与本项目有关的原有污染情况及主要环境问题：</w:t>
            </w:r>
          </w:p>
          <w:p>
            <w:pPr>
              <w:spacing w:line="360" w:lineRule="auto"/>
              <w:ind w:firstLine="480" w:firstLineChars="200"/>
              <w:rPr>
                <w:sz w:val="24"/>
              </w:rPr>
            </w:pPr>
            <w:r>
              <w:rPr>
                <w:rFonts w:hint="eastAsia"/>
                <w:sz w:val="24"/>
              </w:rPr>
              <w:t>本项目为新建项目，租赁闲置工业厂房，但尚未投产运行，无原有污染情况</w:t>
            </w:r>
            <w:r>
              <w:rPr>
                <w:sz w:val="24"/>
              </w:rPr>
              <w:t>。</w:t>
            </w:r>
          </w:p>
          <w:p>
            <w:pPr>
              <w:spacing w:line="360" w:lineRule="auto"/>
              <w:rPr>
                <w:kern w:val="0"/>
                <w:sz w:val="24"/>
              </w:rPr>
            </w:pPr>
          </w:p>
          <w:p>
            <w:pPr>
              <w:spacing w:line="360" w:lineRule="auto"/>
              <w:rPr>
                <w:kern w:val="0"/>
                <w:sz w:val="24"/>
              </w:rPr>
            </w:pPr>
          </w:p>
          <w:p>
            <w:pPr>
              <w:spacing w:line="360" w:lineRule="auto"/>
              <w:rPr>
                <w:kern w:val="0"/>
                <w:sz w:val="24"/>
              </w:rPr>
            </w:pPr>
          </w:p>
        </w:tc>
      </w:tr>
    </w:tbl>
    <w:p>
      <w:pPr>
        <w:pStyle w:val="3"/>
        <w:rPr>
          <w:rFonts w:eastAsia="宋体"/>
        </w:rPr>
      </w:pPr>
      <w:r>
        <w:rPr>
          <w:rFonts w:hint="eastAsia" w:eastAsia="宋体"/>
        </w:rPr>
        <w:t>二、</w:t>
      </w:r>
      <w:r>
        <w:rPr>
          <w:rFonts w:eastAsia="宋体"/>
        </w:rPr>
        <w:t>建设项目所在地自然环境社会环境简况</w:t>
      </w:r>
    </w:p>
    <w:tbl>
      <w:tblPr>
        <w:tblStyle w:val="33"/>
        <w:tblW w:w="0" w:type="auto"/>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8" w:type="dxa"/>
            <w:tcBorders>
              <w:bottom w:val="single" w:color="auto" w:sz="4" w:space="0"/>
            </w:tcBorders>
          </w:tcPr>
          <w:p>
            <w:pPr>
              <w:rPr>
                <w:b/>
                <w:bCs/>
                <w:sz w:val="24"/>
              </w:rPr>
            </w:pPr>
            <w:r>
              <w:rPr>
                <w:b/>
                <w:bCs/>
                <w:sz w:val="24"/>
              </w:rPr>
              <w:t>自然环境简况（地形、地貌、地质、气候、气象、水文、植被、生物多样性等）：</w:t>
            </w:r>
          </w:p>
          <w:p>
            <w:pPr>
              <w:pStyle w:val="17"/>
              <w:ind w:firstLineChars="200"/>
            </w:pPr>
            <w:r>
              <w:t>1、地形地貌</w:t>
            </w:r>
          </w:p>
          <w:p>
            <w:pPr>
              <w:spacing w:line="360" w:lineRule="auto"/>
              <w:ind w:firstLine="480" w:firstLineChars="200"/>
              <w:rPr>
                <w:sz w:val="24"/>
              </w:rPr>
            </w:pPr>
            <w:r>
              <w:rPr>
                <w:sz w:val="24"/>
              </w:rPr>
              <w:t>沭阳县位于北纬33°53′至34°25′，东经118°30′至119°10′ 范围内，地处黄淮平原，位于江苏省北部，隶属宿迁市，北与东海县接壤，南与泗阳县、淮阴区相连，东与灌云、灌南、涟水三县毗邻，西与宿豫县、新沂市接界。地势低平，由南向北略有倾斜，地形呈不规则方形。</w:t>
            </w:r>
          </w:p>
          <w:p>
            <w:pPr>
              <w:tabs>
                <w:tab w:val="left" w:pos="851"/>
                <w:tab w:val="left" w:pos="1134"/>
                <w:tab w:val="left" w:pos="1276"/>
              </w:tabs>
              <w:spacing w:line="360" w:lineRule="auto"/>
              <w:ind w:firstLine="480" w:firstLineChars="200"/>
              <w:rPr>
                <w:sz w:val="24"/>
              </w:rPr>
            </w:pPr>
            <w:r>
              <w:rPr>
                <w:sz w:val="24"/>
              </w:rPr>
              <w:t>2、气象特征</w:t>
            </w:r>
          </w:p>
          <w:p>
            <w:pPr>
              <w:spacing w:line="360" w:lineRule="auto"/>
              <w:ind w:firstLine="480" w:firstLineChars="200"/>
              <w:rPr>
                <w:sz w:val="24"/>
              </w:rPr>
            </w:pPr>
            <w:r>
              <w:rPr>
                <w:sz w:val="24"/>
              </w:rPr>
              <w:t>沭阳地处北亚热带和南暖温带的过渡区，属于暖湿季风气候，全境气候温和，四季分明，日照充足，雨量丰沛。常年气温平均为13.8</w:t>
            </w:r>
            <w:r>
              <w:rPr>
                <w:rFonts w:hint="eastAsia" w:ascii="宋体" w:hAnsi="宋体" w:cs="宋体"/>
                <w:sz w:val="24"/>
              </w:rPr>
              <w:t>℃</w:t>
            </w:r>
            <w:r>
              <w:rPr>
                <w:sz w:val="24"/>
              </w:rPr>
              <w:t>，年极端最高气温38</w:t>
            </w:r>
            <w:r>
              <w:rPr>
                <w:rFonts w:hint="eastAsia" w:ascii="宋体" w:hAnsi="宋体" w:cs="宋体"/>
                <w:sz w:val="24"/>
              </w:rPr>
              <w:t>℃</w:t>
            </w:r>
            <w:r>
              <w:rPr>
                <w:sz w:val="24"/>
              </w:rPr>
              <w:t>，年极端最低气温-18</w:t>
            </w:r>
            <w:r>
              <w:rPr>
                <w:rFonts w:hint="eastAsia" w:ascii="宋体" w:hAnsi="宋体" w:cs="宋体"/>
                <w:sz w:val="24"/>
              </w:rPr>
              <w:t>℃</w:t>
            </w:r>
            <w:r>
              <w:rPr>
                <w:sz w:val="24"/>
              </w:rPr>
              <w:t>；全年平均降雨量937.6mm，多集中于7-9月份。常年主导风向为东南风，次主导风向为东北风。</w:t>
            </w:r>
            <w:r>
              <w:rPr>
                <w:kern w:val="10"/>
                <w:sz w:val="24"/>
              </w:rPr>
              <w:t>其主要气象特征见表2-1。</w:t>
            </w:r>
          </w:p>
          <w:p>
            <w:pPr>
              <w:keepLines/>
              <w:suppressAutoHyphens/>
              <w:jc w:val="center"/>
              <w:rPr>
                <w:b/>
                <w:kern w:val="10"/>
                <w:sz w:val="24"/>
              </w:rPr>
            </w:pPr>
            <w:r>
              <w:rPr>
                <w:b/>
                <w:kern w:val="10"/>
                <w:sz w:val="24"/>
              </w:rPr>
              <w:t xml:space="preserve">表2-1 </w:t>
            </w:r>
            <w:r>
              <w:rPr>
                <w:rFonts w:hint="eastAsia"/>
                <w:b/>
                <w:kern w:val="10"/>
                <w:sz w:val="24"/>
              </w:rPr>
              <w:t xml:space="preserve"> </w:t>
            </w:r>
            <w:r>
              <w:rPr>
                <w:b/>
                <w:kern w:val="10"/>
                <w:sz w:val="24"/>
              </w:rPr>
              <w:t>主要气象气候特征</w:t>
            </w:r>
          </w:p>
          <w:tbl>
            <w:tblPr>
              <w:tblStyle w:val="33"/>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1597"/>
              <w:gridCol w:w="3122"/>
              <w:gridCol w:w="22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6" w:type="dxa"/>
                  <w:vAlign w:val="center"/>
                </w:tcPr>
                <w:p>
                  <w:pPr>
                    <w:jc w:val="center"/>
                    <w:rPr>
                      <w:b/>
                      <w:szCs w:val="21"/>
                    </w:rPr>
                  </w:pPr>
                  <w:r>
                    <w:rPr>
                      <w:b/>
                      <w:szCs w:val="21"/>
                    </w:rPr>
                    <w:t>编号</w:t>
                  </w:r>
                </w:p>
              </w:tc>
              <w:tc>
                <w:tcPr>
                  <w:tcW w:w="4719" w:type="dxa"/>
                  <w:gridSpan w:val="2"/>
                  <w:vAlign w:val="center"/>
                </w:tcPr>
                <w:p>
                  <w:pPr>
                    <w:jc w:val="center"/>
                    <w:rPr>
                      <w:b/>
                      <w:szCs w:val="21"/>
                    </w:rPr>
                  </w:pPr>
                  <w:r>
                    <w:rPr>
                      <w:b/>
                      <w:szCs w:val="21"/>
                    </w:rPr>
                    <w:t>项目</w:t>
                  </w:r>
                </w:p>
              </w:tc>
              <w:tc>
                <w:tcPr>
                  <w:tcW w:w="2267" w:type="dxa"/>
                  <w:vAlign w:val="center"/>
                </w:tcPr>
                <w:p>
                  <w:pPr>
                    <w:jc w:val="center"/>
                    <w:rPr>
                      <w:b/>
                      <w:szCs w:val="21"/>
                    </w:rPr>
                  </w:pPr>
                  <w:r>
                    <w:rPr>
                      <w:b/>
                      <w:szCs w:val="21"/>
                    </w:rPr>
                    <w:t>数值及单位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6" w:type="dxa"/>
                  <w:vMerge w:val="restart"/>
                  <w:vAlign w:val="center"/>
                </w:tcPr>
                <w:p>
                  <w:pPr>
                    <w:jc w:val="center"/>
                    <w:rPr>
                      <w:szCs w:val="21"/>
                    </w:rPr>
                  </w:pPr>
                  <w:r>
                    <w:rPr>
                      <w:szCs w:val="21"/>
                    </w:rPr>
                    <w:t>1</w:t>
                  </w:r>
                </w:p>
              </w:tc>
              <w:tc>
                <w:tcPr>
                  <w:tcW w:w="1597" w:type="dxa"/>
                  <w:vMerge w:val="restart"/>
                  <w:vAlign w:val="center"/>
                </w:tcPr>
                <w:p>
                  <w:pPr>
                    <w:jc w:val="center"/>
                    <w:rPr>
                      <w:szCs w:val="21"/>
                    </w:rPr>
                  </w:pPr>
                  <w:r>
                    <w:rPr>
                      <w:szCs w:val="21"/>
                    </w:rPr>
                    <w:t>气温</w:t>
                  </w:r>
                </w:p>
              </w:tc>
              <w:tc>
                <w:tcPr>
                  <w:tcW w:w="3122" w:type="dxa"/>
                  <w:vAlign w:val="center"/>
                </w:tcPr>
                <w:p>
                  <w:pPr>
                    <w:jc w:val="center"/>
                    <w:rPr>
                      <w:szCs w:val="21"/>
                    </w:rPr>
                  </w:pPr>
                  <w:r>
                    <w:rPr>
                      <w:szCs w:val="21"/>
                    </w:rPr>
                    <w:t>年平均气温</w:t>
                  </w:r>
                </w:p>
              </w:tc>
              <w:tc>
                <w:tcPr>
                  <w:tcW w:w="2267" w:type="dxa"/>
                  <w:vAlign w:val="center"/>
                </w:tcPr>
                <w:p>
                  <w:pPr>
                    <w:jc w:val="center"/>
                    <w:rPr>
                      <w:szCs w:val="21"/>
                    </w:rPr>
                  </w:pPr>
                  <w:r>
                    <w:rPr>
                      <w:szCs w:val="21"/>
                    </w:rPr>
                    <w:t>13.8</w:t>
                  </w:r>
                  <w:r>
                    <w:rPr>
                      <w:rFonts w:hint="eastAsia" w:ascii="宋体" w:hAnsi="宋体" w:cs="宋体"/>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6" w:type="dxa"/>
                  <w:vMerge w:val="continue"/>
                  <w:vAlign w:val="center"/>
                </w:tcPr>
                <w:p>
                  <w:pPr>
                    <w:jc w:val="center"/>
                    <w:rPr>
                      <w:szCs w:val="21"/>
                    </w:rPr>
                  </w:pPr>
                </w:p>
              </w:tc>
              <w:tc>
                <w:tcPr>
                  <w:tcW w:w="1597" w:type="dxa"/>
                  <w:vMerge w:val="continue"/>
                  <w:vAlign w:val="center"/>
                </w:tcPr>
                <w:p>
                  <w:pPr>
                    <w:jc w:val="center"/>
                    <w:rPr>
                      <w:szCs w:val="21"/>
                    </w:rPr>
                  </w:pPr>
                </w:p>
              </w:tc>
              <w:tc>
                <w:tcPr>
                  <w:tcW w:w="3122" w:type="dxa"/>
                  <w:vAlign w:val="center"/>
                </w:tcPr>
                <w:p>
                  <w:pPr>
                    <w:jc w:val="center"/>
                    <w:rPr>
                      <w:szCs w:val="21"/>
                    </w:rPr>
                  </w:pPr>
                  <w:r>
                    <w:rPr>
                      <w:szCs w:val="21"/>
                    </w:rPr>
                    <w:t>极端最高温度</w:t>
                  </w:r>
                </w:p>
              </w:tc>
              <w:tc>
                <w:tcPr>
                  <w:tcW w:w="2267" w:type="dxa"/>
                  <w:vAlign w:val="center"/>
                </w:tcPr>
                <w:p>
                  <w:pPr>
                    <w:jc w:val="center"/>
                    <w:rPr>
                      <w:szCs w:val="21"/>
                    </w:rPr>
                  </w:pPr>
                  <w:r>
                    <w:rPr>
                      <w:szCs w:val="21"/>
                    </w:rPr>
                    <w:t>38</w:t>
                  </w:r>
                  <w:r>
                    <w:rPr>
                      <w:rFonts w:hint="eastAsia" w:ascii="宋体" w:hAnsi="宋体" w:cs="宋体"/>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156" w:type="dxa"/>
                  <w:vMerge w:val="continue"/>
                  <w:vAlign w:val="center"/>
                </w:tcPr>
                <w:p>
                  <w:pPr>
                    <w:jc w:val="center"/>
                    <w:rPr>
                      <w:szCs w:val="21"/>
                    </w:rPr>
                  </w:pPr>
                </w:p>
              </w:tc>
              <w:tc>
                <w:tcPr>
                  <w:tcW w:w="1597" w:type="dxa"/>
                  <w:vMerge w:val="continue"/>
                  <w:vAlign w:val="center"/>
                </w:tcPr>
                <w:p>
                  <w:pPr>
                    <w:jc w:val="center"/>
                    <w:rPr>
                      <w:szCs w:val="21"/>
                    </w:rPr>
                  </w:pPr>
                </w:p>
              </w:tc>
              <w:tc>
                <w:tcPr>
                  <w:tcW w:w="3122" w:type="dxa"/>
                  <w:vAlign w:val="center"/>
                </w:tcPr>
                <w:p>
                  <w:pPr>
                    <w:jc w:val="center"/>
                    <w:rPr>
                      <w:szCs w:val="21"/>
                    </w:rPr>
                  </w:pPr>
                  <w:r>
                    <w:rPr>
                      <w:szCs w:val="21"/>
                    </w:rPr>
                    <w:t>极端最低温度</w:t>
                  </w:r>
                </w:p>
              </w:tc>
              <w:tc>
                <w:tcPr>
                  <w:tcW w:w="2267" w:type="dxa"/>
                  <w:vAlign w:val="center"/>
                </w:tcPr>
                <w:p>
                  <w:pPr>
                    <w:jc w:val="center"/>
                    <w:rPr>
                      <w:szCs w:val="21"/>
                    </w:rPr>
                  </w:pPr>
                  <w:r>
                    <w:rPr>
                      <w:szCs w:val="21"/>
                    </w:rPr>
                    <w:t>-18</w:t>
                  </w:r>
                  <w:r>
                    <w:rPr>
                      <w:rFonts w:hint="eastAsia" w:ascii="宋体" w:hAnsi="宋体" w:cs="宋体"/>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6" w:type="dxa"/>
                  <w:vAlign w:val="center"/>
                </w:tcPr>
                <w:p>
                  <w:pPr>
                    <w:jc w:val="center"/>
                    <w:rPr>
                      <w:szCs w:val="21"/>
                    </w:rPr>
                  </w:pPr>
                  <w:r>
                    <w:rPr>
                      <w:szCs w:val="21"/>
                    </w:rPr>
                    <w:t>2</w:t>
                  </w:r>
                </w:p>
              </w:tc>
              <w:tc>
                <w:tcPr>
                  <w:tcW w:w="1597" w:type="dxa"/>
                  <w:vAlign w:val="center"/>
                </w:tcPr>
                <w:p>
                  <w:pPr>
                    <w:jc w:val="center"/>
                    <w:rPr>
                      <w:szCs w:val="21"/>
                    </w:rPr>
                  </w:pPr>
                  <w:r>
                    <w:rPr>
                      <w:szCs w:val="21"/>
                    </w:rPr>
                    <w:t>风速</w:t>
                  </w:r>
                </w:p>
              </w:tc>
              <w:tc>
                <w:tcPr>
                  <w:tcW w:w="3122" w:type="dxa"/>
                  <w:vAlign w:val="center"/>
                </w:tcPr>
                <w:p>
                  <w:pPr>
                    <w:jc w:val="center"/>
                    <w:rPr>
                      <w:szCs w:val="21"/>
                    </w:rPr>
                  </w:pPr>
                  <w:r>
                    <w:rPr>
                      <w:szCs w:val="21"/>
                    </w:rPr>
                    <w:t>年平均风速</w:t>
                  </w:r>
                </w:p>
              </w:tc>
              <w:tc>
                <w:tcPr>
                  <w:tcW w:w="2267" w:type="dxa"/>
                  <w:vAlign w:val="center"/>
                </w:tcPr>
                <w:p>
                  <w:pPr>
                    <w:jc w:val="center"/>
                    <w:rPr>
                      <w:szCs w:val="21"/>
                    </w:rPr>
                  </w:pPr>
                  <w:r>
                    <w:rPr>
                      <w:szCs w:val="21"/>
                    </w:rPr>
                    <w:t>2.33m/s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6" w:type="dxa"/>
                  <w:vAlign w:val="center"/>
                </w:tcPr>
                <w:p>
                  <w:pPr>
                    <w:jc w:val="center"/>
                    <w:rPr>
                      <w:szCs w:val="21"/>
                    </w:rPr>
                  </w:pPr>
                  <w:r>
                    <w:rPr>
                      <w:szCs w:val="21"/>
                    </w:rPr>
                    <w:t>3</w:t>
                  </w:r>
                </w:p>
              </w:tc>
              <w:tc>
                <w:tcPr>
                  <w:tcW w:w="1597" w:type="dxa"/>
                  <w:vAlign w:val="center"/>
                </w:tcPr>
                <w:p>
                  <w:pPr>
                    <w:jc w:val="center"/>
                    <w:rPr>
                      <w:szCs w:val="21"/>
                    </w:rPr>
                  </w:pPr>
                  <w:r>
                    <w:rPr>
                      <w:szCs w:val="21"/>
                    </w:rPr>
                    <w:t>气压</w:t>
                  </w:r>
                </w:p>
              </w:tc>
              <w:tc>
                <w:tcPr>
                  <w:tcW w:w="3122" w:type="dxa"/>
                  <w:vAlign w:val="center"/>
                </w:tcPr>
                <w:p>
                  <w:pPr>
                    <w:jc w:val="center"/>
                    <w:rPr>
                      <w:szCs w:val="21"/>
                    </w:rPr>
                  </w:pPr>
                  <w:r>
                    <w:rPr>
                      <w:szCs w:val="21"/>
                    </w:rPr>
                    <w:t>年平均大气压</w:t>
                  </w:r>
                </w:p>
              </w:tc>
              <w:tc>
                <w:tcPr>
                  <w:tcW w:w="2267" w:type="dxa"/>
                  <w:vAlign w:val="center"/>
                </w:tcPr>
                <w:p>
                  <w:pPr>
                    <w:jc w:val="center"/>
                    <w:rPr>
                      <w:szCs w:val="21"/>
                    </w:rPr>
                  </w:pPr>
                  <w:r>
                    <w:rPr>
                      <w:szCs w:val="21"/>
                    </w:rPr>
                    <w:t>1015.9mbar</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6" w:type="dxa"/>
                  <w:vMerge w:val="restart"/>
                  <w:vAlign w:val="center"/>
                </w:tcPr>
                <w:p>
                  <w:pPr>
                    <w:jc w:val="center"/>
                    <w:rPr>
                      <w:szCs w:val="21"/>
                    </w:rPr>
                  </w:pPr>
                  <w:r>
                    <w:rPr>
                      <w:szCs w:val="21"/>
                    </w:rPr>
                    <w:t>4</w:t>
                  </w:r>
                </w:p>
              </w:tc>
              <w:tc>
                <w:tcPr>
                  <w:tcW w:w="1597" w:type="dxa"/>
                  <w:vMerge w:val="restart"/>
                  <w:vAlign w:val="center"/>
                </w:tcPr>
                <w:p>
                  <w:pPr>
                    <w:jc w:val="center"/>
                    <w:rPr>
                      <w:szCs w:val="21"/>
                    </w:rPr>
                  </w:pPr>
                  <w:r>
                    <w:rPr>
                      <w:szCs w:val="21"/>
                    </w:rPr>
                    <w:t>空气湿度</w:t>
                  </w:r>
                </w:p>
              </w:tc>
              <w:tc>
                <w:tcPr>
                  <w:tcW w:w="3122" w:type="dxa"/>
                  <w:vAlign w:val="center"/>
                </w:tcPr>
                <w:p>
                  <w:pPr>
                    <w:jc w:val="center"/>
                    <w:rPr>
                      <w:szCs w:val="21"/>
                    </w:rPr>
                  </w:pPr>
                  <w:r>
                    <w:rPr>
                      <w:szCs w:val="21"/>
                    </w:rPr>
                    <w:t>年平均相对湿度</w:t>
                  </w:r>
                </w:p>
              </w:tc>
              <w:tc>
                <w:tcPr>
                  <w:tcW w:w="2267" w:type="dxa"/>
                  <w:vAlign w:val="center"/>
                </w:tcPr>
                <w:p>
                  <w:pPr>
                    <w:jc w:val="center"/>
                    <w:rPr>
                      <w:szCs w:val="21"/>
                    </w:rPr>
                  </w:pPr>
                  <w:r>
                    <w:rPr>
                      <w:szCs w:val="21"/>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6" w:type="dxa"/>
                  <w:vMerge w:val="continue"/>
                  <w:vAlign w:val="center"/>
                </w:tcPr>
                <w:p>
                  <w:pPr>
                    <w:jc w:val="center"/>
                    <w:rPr>
                      <w:szCs w:val="21"/>
                    </w:rPr>
                  </w:pPr>
                </w:p>
              </w:tc>
              <w:tc>
                <w:tcPr>
                  <w:tcW w:w="1597" w:type="dxa"/>
                  <w:vMerge w:val="continue"/>
                  <w:vAlign w:val="center"/>
                </w:tcPr>
                <w:p>
                  <w:pPr>
                    <w:jc w:val="center"/>
                    <w:rPr>
                      <w:szCs w:val="21"/>
                    </w:rPr>
                  </w:pPr>
                </w:p>
              </w:tc>
              <w:tc>
                <w:tcPr>
                  <w:tcW w:w="3122" w:type="dxa"/>
                  <w:vAlign w:val="center"/>
                </w:tcPr>
                <w:p>
                  <w:pPr>
                    <w:jc w:val="center"/>
                    <w:rPr>
                      <w:szCs w:val="21"/>
                    </w:rPr>
                  </w:pPr>
                  <w:r>
                    <w:rPr>
                      <w:szCs w:val="21"/>
                    </w:rPr>
                    <w:t>最热月平均相对湿度</w:t>
                  </w:r>
                </w:p>
              </w:tc>
              <w:tc>
                <w:tcPr>
                  <w:tcW w:w="2267" w:type="dxa"/>
                  <w:vAlign w:val="center"/>
                </w:tcPr>
                <w:p>
                  <w:pPr>
                    <w:jc w:val="center"/>
                    <w:rPr>
                      <w:szCs w:val="21"/>
                    </w:rPr>
                  </w:pPr>
                  <w:r>
                    <w:rPr>
                      <w:szCs w:val="21"/>
                    </w:rPr>
                    <w:t>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6" w:type="dxa"/>
                  <w:vMerge w:val="restart"/>
                  <w:vAlign w:val="center"/>
                </w:tcPr>
                <w:p>
                  <w:pPr>
                    <w:jc w:val="center"/>
                    <w:rPr>
                      <w:szCs w:val="21"/>
                    </w:rPr>
                  </w:pPr>
                  <w:r>
                    <w:rPr>
                      <w:szCs w:val="21"/>
                    </w:rPr>
                    <w:t>5</w:t>
                  </w:r>
                </w:p>
              </w:tc>
              <w:tc>
                <w:tcPr>
                  <w:tcW w:w="1597" w:type="dxa"/>
                  <w:vMerge w:val="restart"/>
                  <w:vAlign w:val="center"/>
                </w:tcPr>
                <w:p>
                  <w:pPr>
                    <w:jc w:val="center"/>
                    <w:rPr>
                      <w:szCs w:val="21"/>
                    </w:rPr>
                  </w:pPr>
                  <w:r>
                    <w:rPr>
                      <w:szCs w:val="21"/>
                    </w:rPr>
                    <w:t>降雨量</w:t>
                  </w:r>
                </w:p>
              </w:tc>
              <w:tc>
                <w:tcPr>
                  <w:tcW w:w="3122" w:type="dxa"/>
                  <w:vAlign w:val="center"/>
                </w:tcPr>
                <w:p>
                  <w:pPr>
                    <w:jc w:val="center"/>
                    <w:rPr>
                      <w:szCs w:val="21"/>
                    </w:rPr>
                  </w:pPr>
                  <w:r>
                    <w:rPr>
                      <w:szCs w:val="21"/>
                    </w:rPr>
                    <w:t>年最大降雨量</w:t>
                  </w:r>
                </w:p>
              </w:tc>
              <w:tc>
                <w:tcPr>
                  <w:tcW w:w="2267" w:type="dxa"/>
                  <w:vAlign w:val="center"/>
                </w:tcPr>
                <w:p>
                  <w:pPr>
                    <w:jc w:val="center"/>
                    <w:rPr>
                      <w:szCs w:val="21"/>
                    </w:rPr>
                  </w:pPr>
                  <w:r>
                    <w:rPr>
                      <w:szCs w:val="21"/>
                    </w:rPr>
                    <w:t>1580.8mm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6" w:type="dxa"/>
                  <w:vMerge w:val="continue"/>
                  <w:vAlign w:val="center"/>
                </w:tcPr>
                <w:p>
                  <w:pPr>
                    <w:jc w:val="center"/>
                    <w:rPr>
                      <w:szCs w:val="21"/>
                    </w:rPr>
                  </w:pPr>
                </w:p>
              </w:tc>
              <w:tc>
                <w:tcPr>
                  <w:tcW w:w="1597" w:type="dxa"/>
                  <w:vMerge w:val="continue"/>
                  <w:vAlign w:val="center"/>
                </w:tcPr>
                <w:p>
                  <w:pPr>
                    <w:jc w:val="center"/>
                    <w:rPr>
                      <w:szCs w:val="21"/>
                    </w:rPr>
                  </w:pPr>
                </w:p>
              </w:tc>
              <w:tc>
                <w:tcPr>
                  <w:tcW w:w="3122" w:type="dxa"/>
                  <w:vAlign w:val="center"/>
                </w:tcPr>
                <w:p>
                  <w:pPr>
                    <w:jc w:val="center"/>
                    <w:rPr>
                      <w:szCs w:val="21"/>
                    </w:rPr>
                  </w:pPr>
                  <w:r>
                    <w:rPr>
                      <w:szCs w:val="21"/>
                    </w:rPr>
                    <w:t>年最小降雨量</w:t>
                  </w:r>
                </w:p>
              </w:tc>
              <w:tc>
                <w:tcPr>
                  <w:tcW w:w="2267" w:type="dxa"/>
                  <w:vAlign w:val="center"/>
                </w:tcPr>
                <w:p>
                  <w:pPr>
                    <w:jc w:val="center"/>
                    <w:rPr>
                      <w:szCs w:val="21"/>
                    </w:rPr>
                  </w:pPr>
                  <w:r>
                    <w:rPr>
                      <w:szCs w:val="21"/>
                    </w:rPr>
                    <w:t>458.7mm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6" w:type="dxa"/>
                  <w:vMerge w:val="continue"/>
                  <w:vAlign w:val="center"/>
                </w:tcPr>
                <w:p>
                  <w:pPr>
                    <w:jc w:val="center"/>
                    <w:rPr>
                      <w:szCs w:val="21"/>
                    </w:rPr>
                  </w:pPr>
                </w:p>
              </w:tc>
              <w:tc>
                <w:tcPr>
                  <w:tcW w:w="1597" w:type="dxa"/>
                  <w:vMerge w:val="continue"/>
                  <w:vAlign w:val="center"/>
                </w:tcPr>
                <w:p>
                  <w:pPr>
                    <w:jc w:val="center"/>
                    <w:rPr>
                      <w:szCs w:val="21"/>
                    </w:rPr>
                  </w:pPr>
                </w:p>
              </w:tc>
              <w:tc>
                <w:tcPr>
                  <w:tcW w:w="3122" w:type="dxa"/>
                  <w:vAlign w:val="center"/>
                </w:tcPr>
                <w:p>
                  <w:pPr>
                    <w:jc w:val="center"/>
                    <w:rPr>
                      <w:szCs w:val="21"/>
                    </w:rPr>
                  </w:pPr>
                  <w:r>
                    <w:rPr>
                      <w:szCs w:val="21"/>
                    </w:rPr>
                    <w:t>年均降雨量</w:t>
                  </w:r>
                </w:p>
              </w:tc>
              <w:tc>
                <w:tcPr>
                  <w:tcW w:w="2267" w:type="dxa"/>
                  <w:vAlign w:val="center"/>
                </w:tcPr>
                <w:p>
                  <w:pPr>
                    <w:jc w:val="center"/>
                    <w:rPr>
                      <w:szCs w:val="21"/>
                    </w:rPr>
                  </w:pPr>
                  <w:r>
                    <w:rPr>
                      <w:szCs w:val="21"/>
                    </w:rPr>
                    <w:t>937.6mm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6" w:type="dxa"/>
                  <w:vMerge w:val="restart"/>
                  <w:vAlign w:val="center"/>
                </w:tcPr>
                <w:p>
                  <w:pPr>
                    <w:jc w:val="center"/>
                    <w:rPr>
                      <w:szCs w:val="21"/>
                    </w:rPr>
                  </w:pPr>
                  <w:r>
                    <w:rPr>
                      <w:szCs w:val="21"/>
                    </w:rPr>
                    <w:t>6</w:t>
                  </w:r>
                </w:p>
              </w:tc>
              <w:tc>
                <w:tcPr>
                  <w:tcW w:w="1597" w:type="dxa"/>
                  <w:vMerge w:val="restart"/>
                  <w:vAlign w:val="center"/>
                </w:tcPr>
                <w:p>
                  <w:pPr>
                    <w:jc w:val="center"/>
                    <w:rPr>
                      <w:szCs w:val="21"/>
                    </w:rPr>
                  </w:pPr>
                  <w:r>
                    <w:rPr>
                      <w:szCs w:val="21"/>
                    </w:rPr>
                    <w:t>降雪量</w:t>
                  </w:r>
                </w:p>
              </w:tc>
              <w:tc>
                <w:tcPr>
                  <w:tcW w:w="3122" w:type="dxa"/>
                  <w:vAlign w:val="center"/>
                </w:tcPr>
                <w:p>
                  <w:pPr>
                    <w:jc w:val="center"/>
                    <w:rPr>
                      <w:szCs w:val="21"/>
                    </w:rPr>
                  </w:pPr>
                  <w:r>
                    <w:rPr>
                      <w:szCs w:val="21"/>
                    </w:rPr>
                    <w:t>最大积雪深度</w:t>
                  </w:r>
                </w:p>
              </w:tc>
              <w:tc>
                <w:tcPr>
                  <w:tcW w:w="2267" w:type="dxa"/>
                  <w:vAlign w:val="center"/>
                </w:tcPr>
                <w:p>
                  <w:pPr>
                    <w:jc w:val="center"/>
                    <w:rPr>
                      <w:szCs w:val="21"/>
                    </w:rPr>
                  </w:pPr>
                  <w:r>
                    <w:rPr>
                      <w:szCs w:val="21"/>
                    </w:rPr>
                    <w:t>42cm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6" w:type="dxa"/>
                  <w:vMerge w:val="continue"/>
                  <w:vAlign w:val="center"/>
                </w:tcPr>
                <w:p>
                  <w:pPr>
                    <w:jc w:val="center"/>
                    <w:rPr>
                      <w:szCs w:val="21"/>
                    </w:rPr>
                  </w:pPr>
                </w:p>
              </w:tc>
              <w:tc>
                <w:tcPr>
                  <w:tcW w:w="1597" w:type="dxa"/>
                  <w:vMerge w:val="continue"/>
                  <w:vAlign w:val="center"/>
                </w:tcPr>
                <w:p>
                  <w:pPr>
                    <w:jc w:val="center"/>
                    <w:rPr>
                      <w:szCs w:val="21"/>
                    </w:rPr>
                  </w:pPr>
                </w:p>
              </w:tc>
              <w:tc>
                <w:tcPr>
                  <w:tcW w:w="3122" w:type="dxa"/>
                  <w:vAlign w:val="center"/>
                </w:tcPr>
                <w:p>
                  <w:pPr>
                    <w:jc w:val="center"/>
                    <w:rPr>
                      <w:szCs w:val="21"/>
                    </w:rPr>
                  </w:pPr>
                  <w:r>
                    <w:rPr>
                      <w:szCs w:val="21"/>
                    </w:rPr>
                    <w:t>平均积雪厚度</w:t>
                  </w:r>
                </w:p>
              </w:tc>
              <w:tc>
                <w:tcPr>
                  <w:tcW w:w="2267" w:type="dxa"/>
                  <w:vAlign w:val="center"/>
                </w:tcPr>
                <w:p>
                  <w:pPr>
                    <w:jc w:val="center"/>
                    <w:rPr>
                      <w:szCs w:val="21"/>
                    </w:rPr>
                  </w:pPr>
                  <w:r>
                    <w:rPr>
                      <w:szCs w:val="21"/>
                    </w:rPr>
                    <w:t>1cm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6" w:type="dxa"/>
                  <w:vMerge w:val="continue"/>
                  <w:vAlign w:val="center"/>
                </w:tcPr>
                <w:p>
                  <w:pPr>
                    <w:jc w:val="center"/>
                    <w:rPr>
                      <w:szCs w:val="21"/>
                    </w:rPr>
                  </w:pPr>
                </w:p>
              </w:tc>
              <w:tc>
                <w:tcPr>
                  <w:tcW w:w="1597" w:type="dxa"/>
                  <w:vMerge w:val="continue"/>
                  <w:vAlign w:val="center"/>
                </w:tcPr>
                <w:p>
                  <w:pPr>
                    <w:jc w:val="center"/>
                    <w:rPr>
                      <w:szCs w:val="21"/>
                    </w:rPr>
                  </w:pPr>
                </w:p>
              </w:tc>
              <w:tc>
                <w:tcPr>
                  <w:tcW w:w="3122" w:type="dxa"/>
                  <w:vAlign w:val="center"/>
                </w:tcPr>
                <w:p>
                  <w:pPr>
                    <w:jc w:val="center"/>
                    <w:rPr>
                      <w:szCs w:val="21"/>
                    </w:rPr>
                  </w:pPr>
                  <w:r>
                    <w:rPr>
                      <w:szCs w:val="21"/>
                    </w:rPr>
                    <w:t>全年平均积雪日数</w:t>
                  </w:r>
                </w:p>
              </w:tc>
              <w:tc>
                <w:tcPr>
                  <w:tcW w:w="2267" w:type="dxa"/>
                  <w:vAlign w:val="center"/>
                </w:tcPr>
                <w:p>
                  <w:pPr>
                    <w:jc w:val="center"/>
                    <w:rPr>
                      <w:szCs w:val="21"/>
                    </w:rPr>
                  </w:pPr>
                  <w:r>
                    <w:rPr>
                      <w:szCs w:val="21"/>
                    </w:rPr>
                    <w:t>8</w:t>
                  </w:r>
                  <w:r>
                    <w:rPr>
                      <w:rFonts w:hint="eastAsia"/>
                      <w:szCs w:val="21"/>
                    </w:rPr>
                    <w:t>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6" w:type="dxa"/>
                  <w:vAlign w:val="center"/>
                </w:tcPr>
                <w:p>
                  <w:pPr>
                    <w:jc w:val="center"/>
                    <w:rPr>
                      <w:szCs w:val="21"/>
                    </w:rPr>
                  </w:pPr>
                  <w:r>
                    <w:rPr>
                      <w:szCs w:val="21"/>
                    </w:rPr>
                    <w:t>7</w:t>
                  </w:r>
                </w:p>
              </w:tc>
              <w:tc>
                <w:tcPr>
                  <w:tcW w:w="1597" w:type="dxa"/>
                  <w:vAlign w:val="center"/>
                </w:tcPr>
                <w:p>
                  <w:pPr>
                    <w:jc w:val="center"/>
                    <w:rPr>
                      <w:szCs w:val="21"/>
                    </w:rPr>
                  </w:pPr>
                  <w:r>
                    <w:rPr>
                      <w:szCs w:val="21"/>
                    </w:rPr>
                    <w:t>风向、频率</w:t>
                  </w:r>
                </w:p>
              </w:tc>
              <w:tc>
                <w:tcPr>
                  <w:tcW w:w="3122" w:type="dxa"/>
                  <w:vAlign w:val="center"/>
                </w:tcPr>
                <w:p>
                  <w:pPr>
                    <w:jc w:val="center"/>
                    <w:rPr>
                      <w:szCs w:val="21"/>
                    </w:rPr>
                  </w:pPr>
                  <w:r>
                    <w:rPr>
                      <w:szCs w:val="21"/>
                    </w:rPr>
                    <w:t>年主导风向</w:t>
                  </w:r>
                </w:p>
              </w:tc>
              <w:tc>
                <w:tcPr>
                  <w:tcW w:w="2267" w:type="dxa"/>
                  <w:vAlign w:val="center"/>
                </w:tcPr>
                <w:p>
                  <w:pPr>
                    <w:jc w:val="center"/>
                    <w:rPr>
                      <w:szCs w:val="21"/>
                    </w:rPr>
                  </w:pPr>
                  <w:r>
                    <w:rPr>
                      <w:szCs w:val="21"/>
                    </w:rPr>
                    <w:t>SE10.71%</w:t>
                  </w:r>
                </w:p>
              </w:tc>
            </w:tr>
          </w:tbl>
          <w:p>
            <w:pPr>
              <w:pStyle w:val="26"/>
              <w:adjustRightInd w:val="0"/>
              <w:snapToGrid w:val="0"/>
              <w:spacing w:beforeLines="50"/>
              <w:ind w:firstLine="480" w:firstLineChars="200"/>
              <w:rPr>
                <w:szCs w:val="20"/>
              </w:rPr>
            </w:pPr>
            <w:r>
              <w:rPr>
                <w:szCs w:val="20"/>
              </w:rPr>
              <w:t>3、水文</w:t>
            </w:r>
          </w:p>
          <w:p>
            <w:pPr>
              <w:pStyle w:val="26"/>
              <w:adjustRightInd w:val="0"/>
              <w:snapToGrid w:val="0"/>
              <w:ind w:firstLine="480" w:firstLineChars="200"/>
            </w:pPr>
            <w:r>
              <w:t>沭阳县地处淮、沂、沭、泗水系下游，地势低洼，过境水水量较大。境内河流较多，城区附近的河流主要有淮沭河、新沂河和沂南河。</w:t>
            </w:r>
          </w:p>
          <w:p>
            <w:pPr>
              <w:pStyle w:val="26"/>
              <w:adjustRightInd w:val="0"/>
              <w:snapToGrid w:val="0"/>
              <w:ind w:firstLine="480" w:firstLineChars="200"/>
            </w:pPr>
            <w:r>
              <w:t>（1）淮沭河</w:t>
            </w:r>
          </w:p>
          <w:p>
            <w:pPr>
              <w:pStyle w:val="26"/>
              <w:adjustRightInd w:val="0"/>
              <w:snapToGrid w:val="0"/>
              <w:ind w:firstLine="480" w:firstLineChars="200"/>
            </w:pPr>
            <w:r>
              <w:t>淮沭河是沭阳县境内的主要河流之一，它的上游源于洪泽湖，途经淮安、泗阳、沭阳和东海等县，在连云港市境内汇入黄海。该河由沭阳县城区的西部流过，与新沂河的南偏泓汇合。淮沭河河面宽1.4km，河道设计流量为3000m</w:t>
            </w:r>
            <w:r>
              <w:rPr>
                <w:vertAlign w:val="superscript"/>
              </w:rPr>
              <w:t>3</w:t>
            </w:r>
            <w:r>
              <w:t>/s，枯水期最小流量为2.21m</w:t>
            </w:r>
            <w:r>
              <w:rPr>
                <w:vertAlign w:val="superscript"/>
              </w:rPr>
              <w:t>3</w:t>
            </w:r>
            <w:r>
              <w:t>/s，六级航道，最高水位为11.81m，最低水位为6.51m，基本无结冰期。</w:t>
            </w:r>
          </w:p>
          <w:p>
            <w:pPr>
              <w:pStyle w:val="26"/>
              <w:ind w:firstLine="480" w:firstLineChars="200"/>
            </w:pPr>
            <w:r>
              <w:t>淮沭河与新沂河南偏泓交汇处上游约5km处，建有沭阳闸，该闸对淮沭河的流量进行适时的调节。淮沭河与新沂河交汇处有一穿过新沂河的河底地涵，该地涵引部分淮沭河清水，经淮沭新河向连云港市的蔷薇河提供清水，这就是苏北地区近年完成的</w:t>
            </w:r>
            <w:r>
              <w:rPr>
                <w:rFonts w:ascii="宋体" w:hAnsi="宋体"/>
              </w:rPr>
              <w:t>“蔷薇河送清水工程”</w:t>
            </w:r>
            <w:r>
              <w:t>。</w:t>
            </w:r>
          </w:p>
          <w:p>
            <w:pPr>
              <w:pStyle w:val="26"/>
              <w:ind w:firstLine="480" w:firstLineChars="200"/>
            </w:pPr>
            <w:r>
              <w:t>（2）新沂河</w:t>
            </w:r>
          </w:p>
          <w:p>
            <w:pPr>
              <w:pStyle w:val="26"/>
              <w:ind w:firstLine="480" w:firstLineChars="200"/>
            </w:pPr>
            <w:r>
              <w:t>新沂河是沭阳县境内最大的河流，由颜集入境，横穿沭阳县中部，经灌南、灌云等县流入黄海，流经沭阳县境内的长度为60km，是该县泄洪、排涝、灌溉的主要河流，年径流量59.14亿m</w:t>
            </w:r>
            <w:r>
              <w:rPr>
                <w:vertAlign w:val="superscript"/>
              </w:rPr>
              <w:t>3</w:t>
            </w:r>
            <w:r>
              <w:t>，河宽1100~1400m，设计流量为6000m</w:t>
            </w:r>
            <w:r>
              <w:rPr>
                <w:vertAlign w:val="superscript"/>
              </w:rPr>
              <w:t>3</w:t>
            </w:r>
            <w:r>
              <w:t>/s，最大泄洪量为7000m</w:t>
            </w:r>
            <w:r>
              <w:rPr>
                <w:vertAlign w:val="superscript"/>
              </w:rPr>
              <w:t>3</w:t>
            </w:r>
            <w:r>
              <w:t>/s，最高水位为10.76m，最低水位为4.25m。枯水季节，新沂河分割为三条河流，即北偏泓、中泓和南偏泓，行洪时，三条河流汇合成一条大河。</w:t>
            </w:r>
          </w:p>
          <w:p>
            <w:pPr>
              <w:pStyle w:val="26"/>
              <w:ind w:firstLine="480" w:firstLineChars="200"/>
            </w:pPr>
            <w:r>
              <w:t>（3）沂南河</w:t>
            </w:r>
          </w:p>
          <w:p>
            <w:pPr>
              <w:pStyle w:val="26"/>
              <w:ind w:firstLine="480" w:firstLineChars="200"/>
            </w:pPr>
            <w:r>
              <w:t>沂南河起源于沭阳县城区沂河大桥的南岸东首，自西向东流经该县南关乡、七雄乡、汤涧乡和李恒乡（与新沂河的南偏泓平行，不交汇），经灌南、灌云等县流入黄海。沂南河的水源为淮沭河，平时，淮沭河之水由闸控制，由于淮沭河水位标高高于沂南河，故当水闸开启时，淮沭河之水经沭阳县城区的环城河流入沂南河。沂南河为常年性河流，冬季结冰，枯水期的最小流量为0，年径流量为0.0696亿m</w:t>
            </w:r>
            <w:r>
              <w:rPr>
                <w:vertAlign w:val="superscript"/>
              </w:rPr>
              <w:t>3</w:t>
            </w:r>
            <w:r>
              <w:t>。</w:t>
            </w:r>
          </w:p>
          <w:p>
            <w:pPr>
              <w:tabs>
                <w:tab w:val="left" w:pos="851"/>
                <w:tab w:val="left" w:pos="1134"/>
                <w:tab w:val="left" w:pos="1276"/>
              </w:tabs>
              <w:spacing w:line="360" w:lineRule="auto"/>
              <w:ind w:firstLine="480" w:firstLineChars="200"/>
              <w:rPr>
                <w:sz w:val="24"/>
              </w:rPr>
            </w:pPr>
            <w:r>
              <w:rPr>
                <w:sz w:val="24"/>
              </w:rPr>
              <w:t>（4）岔流河</w:t>
            </w:r>
          </w:p>
          <w:p>
            <w:pPr>
              <w:tabs>
                <w:tab w:val="left" w:pos="851"/>
                <w:tab w:val="left" w:pos="1134"/>
                <w:tab w:val="left" w:pos="1276"/>
              </w:tabs>
              <w:spacing w:line="360" w:lineRule="auto"/>
              <w:ind w:firstLine="480" w:firstLineChars="200"/>
              <w:rPr>
                <w:sz w:val="24"/>
              </w:rPr>
            </w:pPr>
            <w:r>
              <w:rPr>
                <w:sz w:val="24"/>
              </w:rPr>
              <w:t>岔流河发源于高流二湖水库流经沭阳县新河、潼阳、扎下等乡镇，由扎下王庄闸进入新沂河（南偏泓）。沭新河属于新沂河的一支流，其起源于沭阳县扎下沂北闸，流经扎下、贤官，主要用于泄洪、排涝、送水灌溉。开闸状态下，涨潮流速0.05m/s、流量7.35m</w:t>
            </w:r>
            <w:r>
              <w:rPr>
                <w:sz w:val="24"/>
                <w:vertAlign w:val="superscript"/>
              </w:rPr>
              <w:t>3</w:t>
            </w:r>
            <w:r>
              <w:rPr>
                <w:sz w:val="24"/>
              </w:rPr>
              <w:t>/s，落潮流速1.0m/s、流量105.6m</w:t>
            </w:r>
            <w:r>
              <w:rPr>
                <w:sz w:val="24"/>
                <w:vertAlign w:val="superscript"/>
              </w:rPr>
              <w:t>3</w:t>
            </w:r>
            <w:r>
              <w:rPr>
                <w:sz w:val="24"/>
              </w:rPr>
              <w:t>/s。</w:t>
            </w:r>
          </w:p>
          <w:p>
            <w:pPr>
              <w:tabs>
                <w:tab w:val="left" w:pos="851"/>
                <w:tab w:val="left" w:pos="1134"/>
                <w:tab w:val="left" w:pos="1276"/>
              </w:tabs>
              <w:spacing w:line="360" w:lineRule="auto"/>
              <w:ind w:firstLine="480" w:firstLineChars="200"/>
              <w:rPr>
                <w:sz w:val="24"/>
              </w:rPr>
            </w:pPr>
            <w:r>
              <w:rPr>
                <w:sz w:val="24"/>
              </w:rPr>
              <w:t>（5）蔷薇河</w:t>
            </w:r>
          </w:p>
          <w:p>
            <w:pPr>
              <w:pStyle w:val="26"/>
              <w:ind w:firstLine="480" w:firstLineChars="200"/>
            </w:pPr>
            <w:r>
              <w:t>蔷薇河发源于徐州市的马陵山、踢球山,横跨新沂、</w:t>
            </w:r>
            <w:r>
              <w:fldChar w:fldCharType="begin"/>
            </w:r>
            <w:r>
              <w:instrText xml:space="preserve"> HYPERLINK "http://baike.baidu.com/view/3676.htm" \t "_blank" </w:instrText>
            </w:r>
            <w:r>
              <w:fldChar w:fldCharType="separate"/>
            </w:r>
            <w:r>
              <w:t>沭阳</w:t>
            </w:r>
            <w:r>
              <w:fldChar w:fldCharType="end"/>
            </w:r>
            <w:r>
              <w:t>、</w:t>
            </w:r>
            <w:r>
              <w:fldChar w:fldCharType="begin"/>
            </w:r>
            <w:r>
              <w:instrText xml:space="preserve"> HYPERLINK "http://baike.baidu.com/view/282199.htm" \t "_blank" </w:instrText>
            </w:r>
            <w:r>
              <w:fldChar w:fldCharType="separate"/>
            </w:r>
            <w:r>
              <w:t>东海县</w:t>
            </w:r>
            <w:r>
              <w:fldChar w:fldCharType="end"/>
            </w:r>
            <w:r>
              <w:t>和连云港市区四个县市，于东海县</w:t>
            </w:r>
            <w:r>
              <w:fldChar w:fldCharType="begin"/>
            </w:r>
            <w:r>
              <w:instrText xml:space="preserve"> HYPERLINK "http://baike.baidu.com/view/1135482.htm" \t "_blank" </w:instrText>
            </w:r>
            <w:r>
              <w:fldChar w:fldCharType="separate"/>
            </w:r>
            <w:r>
              <w:t>浦南镇</w:t>
            </w:r>
            <w:r>
              <w:fldChar w:fldCharType="end"/>
            </w:r>
            <w:r>
              <w:t>太平庄处与新沭河交汇入临洪河。蔷薇河穿青伊湖农场境内而过。蔷薇河水质较好，稳定保持在国家饮用水三类以上标准。</w:t>
            </w:r>
          </w:p>
          <w:p>
            <w:pPr>
              <w:pStyle w:val="26"/>
              <w:ind w:firstLine="480" w:firstLineChars="200"/>
              <w:rPr>
                <w:szCs w:val="20"/>
              </w:rPr>
            </w:pPr>
            <w:r>
              <w:t>4、</w:t>
            </w:r>
            <w:r>
              <w:rPr>
                <w:szCs w:val="20"/>
              </w:rPr>
              <w:t>生态</w:t>
            </w:r>
          </w:p>
          <w:p>
            <w:pPr>
              <w:pStyle w:val="26"/>
              <w:ind w:firstLine="480" w:firstLineChars="200"/>
            </w:pPr>
            <w:r>
              <w:t>沭阳县植被以杨类占优势的温暖带落叶林为主，85％以上，其它树种有刺槐、中国槐、臭椿、柳、榆、桑、泡桐等；南方亚热带树种有山杨、刺楸等；果树有李、桃、杏、苹果、梨、枣、葡萄等；灌木有紫穗槐、野蔷薇、山胡椒等；长绿灌木有小叶女贞、刚竹、淡竹、紫竹等；藤木植物有木通、爬山虎、南蛇藤等；草本有狗尾草、蒲公英、苍耳等。农田的植被有水稻、小麦、玉米、棉花、大豆、油菜、山芋、花生等作物。全县的成片林面积不断扩大，农田林网已经基本形成，其涵养水源、水土保持、防风固沙、减少水土流失的功能已经开始明显发挥作用。</w:t>
            </w:r>
          </w:p>
          <w:p>
            <w:pPr>
              <w:spacing w:line="360" w:lineRule="auto"/>
              <w:ind w:firstLine="480" w:firstLineChars="200"/>
              <w:rPr>
                <w:sz w:val="24"/>
              </w:rPr>
            </w:pPr>
            <w:r>
              <w:rPr>
                <w:rFonts w:hint="eastAsia"/>
                <w:sz w:val="24"/>
                <w:szCs w:val="24"/>
              </w:rPr>
              <w:t>5、</w:t>
            </w:r>
            <w:r>
              <w:rPr>
                <w:rFonts w:hint="eastAsia"/>
                <w:sz w:val="24"/>
              </w:rPr>
              <w:t>龙庙镇</w:t>
            </w:r>
            <w:r>
              <w:rPr>
                <w:sz w:val="24"/>
              </w:rPr>
              <w:t>简介</w:t>
            </w:r>
          </w:p>
          <w:p>
            <w:pPr>
              <w:spacing w:line="360" w:lineRule="auto"/>
              <w:ind w:firstLine="480" w:firstLineChars="200"/>
              <w:rPr>
                <w:sz w:val="24"/>
                <w:szCs w:val="24"/>
              </w:rPr>
            </w:pPr>
            <w:r>
              <w:rPr>
                <w:rFonts w:hint="eastAsia"/>
                <w:sz w:val="24"/>
                <w:szCs w:val="24"/>
              </w:rPr>
              <w:t>龙庙镇地处江苏沭阳县城东北新沂河北岸，距沭城</w:t>
            </w:r>
            <w:r>
              <w:rPr>
                <w:sz w:val="24"/>
                <w:szCs w:val="24"/>
              </w:rPr>
              <w:t>13</w:t>
            </w:r>
            <w:r>
              <w:rPr>
                <w:rFonts w:hint="eastAsia"/>
                <w:sz w:val="24"/>
                <w:szCs w:val="24"/>
              </w:rPr>
              <w:t>公里。全镇地形略成正方形，镇域面积</w:t>
            </w:r>
            <w:r>
              <w:rPr>
                <w:sz w:val="24"/>
                <w:szCs w:val="24"/>
              </w:rPr>
              <w:t>49.6</w:t>
            </w:r>
            <w:r>
              <w:rPr>
                <w:rFonts w:hint="eastAsia"/>
                <w:sz w:val="24"/>
                <w:szCs w:val="24"/>
              </w:rPr>
              <w:t>平方公里，其中耕地面积</w:t>
            </w:r>
            <w:r>
              <w:rPr>
                <w:sz w:val="24"/>
                <w:szCs w:val="24"/>
              </w:rPr>
              <w:t>3.6</w:t>
            </w:r>
            <w:r>
              <w:rPr>
                <w:rFonts w:hint="eastAsia"/>
                <w:sz w:val="24"/>
                <w:szCs w:val="24"/>
              </w:rPr>
              <w:t>万亩，辖</w:t>
            </w:r>
            <w:r>
              <w:rPr>
                <w:sz w:val="24"/>
                <w:szCs w:val="24"/>
              </w:rPr>
              <w:t>11</w:t>
            </w:r>
            <w:r>
              <w:rPr>
                <w:rFonts w:hint="eastAsia"/>
                <w:sz w:val="24"/>
                <w:szCs w:val="24"/>
              </w:rPr>
              <w:t>个行政村，</w:t>
            </w:r>
            <w:r>
              <w:rPr>
                <w:sz w:val="24"/>
                <w:szCs w:val="24"/>
              </w:rPr>
              <w:t>2</w:t>
            </w:r>
            <w:r>
              <w:rPr>
                <w:rFonts w:hint="eastAsia"/>
                <w:sz w:val="24"/>
                <w:szCs w:val="24"/>
              </w:rPr>
              <w:t>个居委会，人口约</w:t>
            </w:r>
            <w:r>
              <w:rPr>
                <w:sz w:val="24"/>
                <w:szCs w:val="24"/>
              </w:rPr>
              <w:t>5</w:t>
            </w:r>
            <w:r>
              <w:rPr>
                <w:rFonts w:hint="eastAsia"/>
                <w:sz w:val="24"/>
                <w:szCs w:val="24"/>
              </w:rPr>
              <w:t>万人。因靠近龙王庙而得名。东与官墩乡交界，西与扎下镇接壤，北与万匹乡、华冲镇为邻，境内有</w:t>
            </w:r>
            <w:r>
              <w:rPr>
                <w:sz w:val="24"/>
                <w:szCs w:val="24"/>
              </w:rPr>
              <w:t>324</w:t>
            </w:r>
            <w:r>
              <w:rPr>
                <w:rFonts w:hint="eastAsia"/>
                <w:sz w:val="24"/>
                <w:szCs w:val="24"/>
              </w:rPr>
              <w:t>省道贯穿东西，义乌路经沂河淌一直延伸到</w:t>
            </w:r>
            <w:r>
              <w:rPr>
                <w:sz w:val="24"/>
                <w:szCs w:val="24"/>
              </w:rPr>
              <w:t>324</w:t>
            </w:r>
            <w:r>
              <w:rPr>
                <w:rFonts w:hint="eastAsia"/>
                <w:sz w:val="24"/>
                <w:szCs w:val="24"/>
              </w:rPr>
              <w:t>省道，在龙庙镇东</w:t>
            </w:r>
            <w:r>
              <w:rPr>
                <w:sz w:val="24"/>
                <w:szCs w:val="24"/>
              </w:rPr>
              <w:t>1000</w:t>
            </w:r>
            <w:r>
              <w:rPr>
                <w:rFonts w:hint="eastAsia"/>
                <w:sz w:val="24"/>
                <w:szCs w:val="24"/>
              </w:rPr>
              <w:t>米处的工业园区</w:t>
            </w:r>
            <w:r>
              <w:rPr>
                <w:sz w:val="24"/>
                <w:szCs w:val="24"/>
              </w:rPr>
              <w:t>2012</w:t>
            </w:r>
            <w:r>
              <w:rPr>
                <w:rFonts w:hint="eastAsia"/>
                <w:sz w:val="24"/>
                <w:szCs w:val="24"/>
              </w:rPr>
              <w:t>年建成了一条</w:t>
            </w:r>
            <w:r>
              <w:rPr>
                <w:sz w:val="24"/>
                <w:szCs w:val="24"/>
              </w:rPr>
              <w:t>205</w:t>
            </w:r>
            <w:r>
              <w:rPr>
                <w:rFonts w:hint="eastAsia"/>
                <w:sz w:val="24"/>
                <w:szCs w:val="24"/>
              </w:rPr>
              <w:t>国道，南面延生到淮安北面延生到连云港，是龙庙又一交通要道，它大大缩短龙庙与沭城的距离，使龙庙区位优势更加凸现。境内资源丰富，气候宜人，交通便利，主要支柱产业是畜牧家禽养殖、木材加工和大棚蔬菜生产。</w:t>
            </w:r>
          </w:p>
          <w:p>
            <w:pPr>
              <w:spacing w:line="360" w:lineRule="auto"/>
              <w:ind w:firstLine="480" w:firstLineChars="200"/>
              <w:rPr>
                <w:sz w:val="24"/>
                <w:szCs w:val="24"/>
              </w:rPr>
            </w:pPr>
            <w:r>
              <w:rPr>
                <w:rFonts w:hint="eastAsia"/>
                <w:sz w:val="24"/>
                <w:szCs w:val="24"/>
              </w:rPr>
              <w:t>龙庙在战争年代属于伪化区，当时的龙庙乡公所就建在该庙宇上。建国后，</w:t>
            </w:r>
            <w:r>
              <w:rPr>
                <w:sz w:val="24"/>
                <w:szCs w:val="24"/>
              </w:rPr>
              <w:t>1950</w:t>
            </w:r>
            <w:r>
              <w:rPr>
                <w:rFonts w:hint="eastAsia"/>
                <w:sz w:val="24"/>
                <w:szCs w:val="24"/>
              </w:rPr>
              <w:t>年设龙庙区，</w:t>
            </w:r>
            <w:r>
              <w:rPr>
                <w:sz w:val="24"/>
                <w:szCs w:val="24"/>
              </w:rPr>
              <w:t>1958</w:t>
            </w:r>
            <w:r>
              <w:rPr>
                <w:rFonts w:hint="eastAsia"/>
                <w:sz w:val="24"/>
                <w:szCs w:val="24"/>
              </w:rPr>
              <w:t>年改公社，</w:t>
            </w:r>
            <w:r>
              <w:rPr>
                <w:sz w:val="24"/>
                <w:szCs w:val="24"/>
              </w:rPr>
              <w:t>1969</w:t>
            </w:r>
            <w:r>
              <w:rPr>
                <w:rFonts w:hint="eastAsia"/>
                <w:sz w:val="24"/>
                <w:szCs w:val="24"/>
              </w:rPr>
              <w:t>年更名向阳公社，</w:t>
            </w:r>
            <w:r>
              <w:rPr>
                <w:sz w:val="24"/>
                <w:szCs w:val="24"/>
              </w:rPr>
              <w:t>1981</w:t>
            </w:r>
            <w:r>
              <w:rPr>
                <w:rFonts w:hint="eastAsia"/>
                <w:sz w:val="24"/>
                <w:szCs w:val="24"/>
              </w:rPr>
              <w:t>年复称龙庙公社，</w:t>
            </w:r>
            <w:r>
              <w:rPr>
                <w:sz w:val="24"/>
                <w:szCs w:val="24"/>
              </w:rPr>
              <w:t>1983</w:t>
            </w:r>
            <w:r>
              <w:rPr>
                <w:rFonts w:hint="eastAsia"/>
                <w:sz w:val="24"/>
                <w:szCs w:val="24"/>
              </w:rPr>
              <w:t>年设置龙庙乡。</w:t>
            </w:r>
            <w:r>
              <w:rPr>
                <w:sz w:val="24"/>
                <w:szCs w:val="24"/>
              </w:rPr>
              <w:t>2011</w:t>
            </w:r>
            <w:r>
              <w:rPr>
                <w:rFonts w:hint="eastAsia"/>
                <w:sz w:val="24"/>
                <w:szCs w:val="24"/>
              </w:rPr>
              <w:t>年撤乡建镇，设龙庙镇。在经济建设如火如荼的今天，龙庙人在积极筹措，借助外力，打造后沭河两岸的景观人文环境，集健身，赏景、垂钓于一体龙庙廋西河水上公园。</w:t>
            </w:r>
          </w:p>
          <w:p>
            <w:pPr>
              <w:snapToGrid w:val="0"/>
              <w:spacing w:line="360" w:lineRule="auto"/>
              <w:ind w:firstLine="480" w:firstLineChars="200"/>
              <w:rPr>
                <w:sz w:val="24"/>
                <w:szCs w:val="24"/>
              </w:rPr>
            </w:pPr>
          </w:p>
          <w:p>
            <w:pPr>
              <w:snapToGrid w:val="0"/>
              <w:spacing w:line="360" w:lineRule="auto"/>
              <w:ind w:firstLine="480" w:firstLineChars="200"/>
              <w:rPr>
                <w:sz w:val="24"/>
                <w:szCs w:val="24"/>
              </w:rPr>
            </w:pPr>
          </w:p>
          <w:p>
            <w:pPr>
              <w:snapToGrid w:val="0"/>
              <w:spacing w:line="360" w:lineRule="auto"/>
              <w:ind w:firstLine="480" w:firstLineChars="200"/>
              <w:rPr>
                <w:sz w:val="24"/>
                <w:szCs w:val="24"/>
              </w:rPr>
            </w:pPr>
          </w:p>
          <w:p>
            <w:pPr>
              <w:snapToGrid w:val="0"/>
              <w:spacing w:line="360" w:lineRule="auto"/>
              <w:ind w:firstLine="480" w:firstLineChars="200"/>
              <w:rPr>
                <w:sz w:val="24"/>
                <w:szCs w:val="24"/>
              </w:rPr>
            </w:pPr>
          </w:p>
          <w:p>
            <w:pPr>
              <w:snapToGrid w:val="0"/>
              <w:spacing w:line="360" w:lineRule="auto"/>
              <w:rPr>
                <w:sz w:val="24"/>
                <w:szCs w:val="24"/>
              </w:rPr>
            </w:pPr>
          </w:p>
        </w:tc>
      </w:tr>
    </w:tbl>
    <w:p>
      <w:pPr>
        <w:pStyle w:val="3"/>
        <w:rPr>
          <w:rFonts w:eastAsia="宋体"/>
        </w:rPr>
      </w:pPr>
      <w:r>
        <w:rPr>
          <w:rFonts w:hint="eastAsia" w:eastAsia="宋体"/>
        </w:rPr>
        <w:t>三、</w:t>
      </w:r>
      <w:r>
        <w:rPr>
          <w:rFonts w:eastAsia="宋体"/>
        </w:rPr>
        <w:t>环境质量状况</w:t>
      </w:r>
    </w:p>
    <w:tbl>
      <w:tblPr>
        <w:tblStyle w:val="33"/>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8" w:hRule="atLeast"/>
        </w:trPr>
        <w:tc>
          <w:tcPr>
            <w:tcW w:w="8485" w:type="dxa"/>
          </w:tcPr>
          <w:p>
            <w:pPr>
              <w:pStyle w:val="28"/>
            </w:pPr>
            <w:r>
              <w:t>建设项目所在地区域环境质量现状及主要环境问题（环境空气、地面水、地下水、声环境、辐射环境、生态环境等）：</w:t>
            </w:r>
          </w:p>
          <w:p>
            <w:pPr>
              <w:pStyle w:val="17"/>
              <w:widowControl/>
              <w:ind w:firstLineChars="200"/>
            </w:pPr>
            <w:r>
              <w:rPr>
                <w:rFonts w:hint="eastAsia"/>
              </w:rPr>
              <w:t>本项目位于</w:t>
            </w:r>
            <w:r>
              <w:rPr>
                <w:rFonts w:hint="eastAsia" w:hAnsi="宋体"/>
                <w:szCs w:val="24"/>
              </w:rPr>
              <w:t>沭阳县龙庙镇朱庄村三组38号</w:t>
            </w:r>
            <w:r>
              <w:rPr>
                <w:rFonts w:hint="eastAsia"/>
              </w:rPr>
              <w:t>，引用</w:t>
            </w:r>
            <w:r>
              <w:rPr>
                <w:rFonts w:hint="eastAsia"/>
                <w:lang w:eastAsia="zh-CN"/>
              </w:rPr>
              <w:t>《</w:t>
            </w:r>
            <w:r>
              <w:rPr>
                <w:rFonts w:ascii="Times New Roman" w:cs="Times New Roman"/>
                <w:color w:val="auto"/>
              </w:rPr>
              <w:t>2018</w:t>
            </w:r>
            <w:r>
              <w:rPr>
                <w:rFonts w:hint="eastAsia" w:ascii="Times New Roman" w:cs="Times New Roman"/>
                <w:color w:val="auto"/>
              </w:rPr>
              <w:t>沭阳</w:t>
            </w:r>
            <w:r>
              <w:rPr>
                <w:rFonts w:ascii="Times New Roman" w:cs="Times New Roman"/>
                <w:color w:val="auto"/>
              </w:rPr>
              <w:t>环境质量报告书</w:t>
            </w:r>
            <w:r>
              <w:rPr>
                <w:rFonts w:hint="eastAsia"/>
                <w:lang w:eastAsia="zh-CN"/>
              </w:rPr>
              <w:t>》</w:t>
            </w:r>
            <w:r>
              <w:rPr>
                <w:rFonts w:hint="eastAsia"/>
              </w:rPr>
              <w:t>中监测数据，该监测数据时间在两年有效期内，引用的现状数据具有代表性和有效性，符合《关于加强环境影响评价现状监测管理的通知》（苏环办﹝</w:t>
            </w:r>
            <w:r>
              <w:t>2016</w:t>
            </w:r>
            <w:r>
              <w:rPr>
                <w:rFonts w:hint="eastAsia"/>
              </w:rPr>
              <w:t>﹞</w:t>
            </w:r>
            <w:r>
              <w:t>185</w:t>
            </w:r>
            <w:r>
              <w:rPr>
                <w:rFonts w:hint="eastAsia"/>
              </w:rPr>
              <w:t>号）要求。</w:t>
            </w:r>
          </w:p>
          <w:p>
            <w:pPr>
              <w:pStyle w:val="17"/>
              <w:widowControl/>
              <w:ind w:firstLine="480" w:firstLineChars="200"/>
              <w:rPr>
                <w:b/>
              </w:rPr>
            </w:pPr>
            <w:r>
              <w:rPr>
                <w:b/>
              </w:rPr>
              <w:t>1</w:t>
            </w:r>
            <w:r>
              <w:rPr>
                <w:rFonts w:hint="eastAsia"/>
                <w:b/>
              </w:rPr>
              <w:t>、大气环境质量状况</w:t>
            </w:r>
          </w:p>
          <w:p>
            <w:pPr>
              <w:pStyle w:val="92"/>
              <w:adjustRightInd/>
              <w:spacing w:line="360" w:lineRule="auto"/>
              <w:ind w:firstLine="480" w:firstLineChars="200"/>
              <w:jc w:val="both"/>
              <w:rPr>
                <w:color w:val="auto"/>
              </w:rPr>
            </w:pPr>
            <w:r>
              <w:rPr>
                <w:color w:val="auto"/>
              </w:rPr>
              <w:t>根据</w:t>
            </w:r>
            <w:r>
              <w:rPr>
                <w:rFonts w:hint="eastAsia"/>
                <w:lang w:eastAsia="zh-CN"/>
              </w:rPr>
              <w:t>《</w:t>
            </w:r>
            <w:r>
              <w:rPr>
                <w:rFonts w:ascii="Times New Roman" w:cs="Times New Roman"/>
                <w:color w:val="auto"/>
              </w:rPr>
              <w:t>2018</w:t>
            </w:r>
            <w:r>
              <w:rPr>
                <w:rFonts w:hint="eastAsia" w:ascii="Times New Roman" w:cs="Times New Roman"/>
                <w:color w:val="auto"/>
              </w:rPr>
              <w:t>沭阳</w:t>
            </w:r>
            <w:r>
              <w:rPr>
                <w:rFonts w:ascii="Times New Roman" w:cs="Times New Roman"/>
                <w:color w:val="auto"/>
              </w:rPr>
              <w:t>环境质量报告书</w:t>
            </w:r>
            <w:r>
              <w:rPr>
                <w:rFonts w:hint="eastAsia"/>
                <w:lang w:eastAsia="zh-CN"/>
              </w:rPr>
              <w:t>》</w:t>
            </w:r>
            <w:r>
              <w:rPr>
                <w:color w:val="auto"/>
              </w:rPr>
              <w:t>中公开的监测数据，对照《环境空气质量标准》（</w:t>
            </w:r>
            <w:r>
              <w:rPr>
                <w:rFonts w:ascii="Times New Roman" w:hAnsi="Times New Roman" w:cs="Times New Roman"/>
                <w:color w:val="auto"/>
              </w:rPr>
              <w:t>GB3095-2012</w:t>
            </w:r>
            <w:r>
              <w:rPr>
                <w:color w:val="auto"/>
              </w:rPr>
              <w:t>），</w:t>
            </w:r>
            <w:r>
              <w:rPr>
                <w:rFonts w:ascii="Times New Roman" w:hAnsi="Times New Roman" w:cs="Times New Roman"/>
                <w:color w:val="auto"/>
              </w:rPr>
              <w:t>SO</w:t>
            </w:r>
            <w:r>
              <w:rPr>
                <w:rFonts w:ascii="Times New Roman" w:hAnsi="Times New Roman" w:cs="Times New Roman"/>
                <w:color w:val="auto"/>
                <w:vertAlign w:val="subscript"/>
              </w:rPr>
              <w:t>2</w:t>
            </w:r>
            <w:r>
              <w:rPr>
                <w:color w:val="auto"/>
              </w:rPr>
              <w:t>、</w:t>
            </w:r>
            <w:r>
              <w:rPr>
                <w:rFonts w:ascii="Times New Roman" w:hAnsi="Times New Roman" w:cs="Times New Roman"/>
                <w:color w:val="auto"/>
              </w:rPr>
              <w:t>NO</w:t>
            </w:r>
            <w:r>
              <w:rPr>
                <w:rFonts w:ascii="Times New Roman" w:hAnsi="Times New Roman" w:cs="Times New Roman"/>
                <w:color w:val="auto"/>
                <w:vertAlign w:val="subscript"/>
              </w:rPr>
              <w:t>2</w:t>
            </w:r>
            <w:r>
              <w:rPr>
                <w:color w:val="auto"/>
              </w:rPr>
              <w:t>、</w:t>
            </w:r>
            <w:r>
              <w:rPr>
                <w:rFonts w:ascii="Times New Roman" w:hAnsi="Times New Roman" w:cs="Times New Roman"/>
                <w:color w:val="auto"/>
              </w:rPr>
              <w:t>O</w:t>
            </w:r>
            <w:r>
              <w:rPr>
                <w:rFonts w:ascii="Times New Roman" w:hAnsi="Times New Roman" w:cs="Times New Roman"/>
                <w:color w:val="auto"/>
                <w:vertAlign w:val="subscript"/>
              </w:rPr>
              <w:t>3</w:t>
            </w:r>
            <w:r>
              <w:rPr>
                <w:color w:val="auto"/>
              </w:rPr>
              <w:t>、</w:t>
            </w:r>
            <w:r>
              <w:rPr>
                <w:rFonts w:ascii="Times New Roman" w:hAnsi="Times New Roman" w:cs="Times New Roman"/>
                <w:color w:val="auto"/>
              </w:rPr>
              <w:t>CO</w:t>
            </w:r>
            <w:r>
              <w:rPr>
                <w:rFonts w:hint="eastAsia" w:ascii="Times New Roman" w:hAnsi="Times New Roman" w:cs="Times New Roman"/>
                <w:color w:val="auto"/>
                <w:lang w:eastAsia="zh-CN"/>
              </w:rPr>
              <w:t>四</w:t>
            </w:r>
            <w:r>
              <w:rPr>
                <w:color w:val="auto"/>
              </w:rPr>
              <w:t>项基本污染物达标，</w:t>
            </w:r>
            <w:r>
              <w:rPr>
                <w:rFonts w:ascii="Times New Roman" w:hAnsi="Times New Roman" w:cs="Times New Roman"/>
                <w:color w:val="auto"/>
              </w:rPr>
              <w:t>PM</w:t>
            </w:r>
            <w:r>
              <w:rPr>
                <w:rFonts w:ascii="Times New Roman" w:hAnsi="Times New Roman" w:cs="Times New Roman"/>
                <w:color w:val="auto"/>
                <w:vertAlign w:val="subscript"/>
              </w:rPr>
              <w:t>10</w:t>
            </w:r>
            <w:r>
              <w:rPr>
                <w:color w:val="auto"/>
              </w:rPr>
              <w:t>、</w:t>
            </w:r>
            <w:r>
              <w:rPr>
                <w:rFonts w:ascii="Times New Roman" w:hAnsi="Times New Roman" w:cs="Times New Roman"/>
                <w:color w:val="auto"/>
              </w:rPr>
              <w:t>PM</w:t>
            </w:r>
            <w:r>
              <w:rPr>
                <w:rFonts w:ascii="Times New Roman" w:hAnsi="Times New Roman" w:cs="Times New Roman"/>
                <w:color w:val="auto"/>
                <w:vertAlign w:val="subscript"/>
              </w:rPr>
              <w:t>2.5</w:t>
            </w:r>
            <w:r>
              <w:rPr>
                <w:rFonts w:hint="eastAsia" w:ascii="Times New Roman" w:hAnsi="Times New Roman" w:cs="Times New Roman"/>
                <w:color w:val="auto"/>
                <w:vertAlign w:val="baseline"/>
                <w:lang w:eastAsia="zh-CN"/>
              </w:rPr>
              <w:t>两</w:t>
            </w:r>
            <w:r>
              <w:rPr>
                <w:color w:val="auto"/>
              </w:rPr>
              <w:t>项</w:t>
            </w:r>
            <w:r>
              <w:rPr>
                <w:rFonts w:hint="eastAsia"/>
                <w:color w:val="auto"/>
              </w:rPr>
              <w:t>基本污染物不达标，</w:t>
            </w:r>
            <w:r>
              <w:rPr>
                <w:rFonts w:hint="default" w:ascii="Times New Roman" w:hAnsi="Times New Roman" w:cs="Times New Roman"/>
                <w:color w:val="auto"/>
                <w:lang w:eastAsia="zh-CN"/>
              </w:rPr>
              <w:t>见表</w:t>
            </w:r>
            <w:r>
              <w:rPr>
                <w:rFonts w:hint="default" w:ascii="Times New Roman" w:hAnsi="Times New Roman" w:cs="Times New Roman"/>
                <w:color w:val="auto"/>
                <w:lang w:val="en-US" w:eastAsia="zh-CN"/>
              </w:rPr>
              <w:t>3-1，</w:t>
            </w:r>
            <w:r>
              <w:rPr>
                <w:rFonts w:hint="eastAsia"/>
                <w:color w:val="auto"/>
              </w:rPr>
              <w:t>因此判定项目所在</w:t>
            </w:r>
            <w:r>
              <w:rPr>
                <w:rFonts w:hint="eastAsia"/>
                <w:color w:val="auto"/>
                <w:lang w:eastAsia="zh-CN"/>
              </w:rPr>
              <w:t>大气</w:t>
            </w:r>
            <w:r>
              <w:rPr>
                <w:rFonts w:hint="eastAsia"/>
                <w:color w:val="auto"/>
              </w:rPr>
              <w:t>环境质量不达标。</w:t>
            </w:r>
          </w:p>
          <w:p>
            <w:pPr>
              <w:pStyle w:val="92"/>
              <w:adjustRightInd/>
              <w:jc w:val="center"/>
              <w:rPr>
                <w:rFonts w:ascii="Times New Roman" w:hAnsi="Times New Roman"/>
                <w:b/>
                <w:color w:val="auto"/>
              </w:rPr>
            </w:pPr>
            <w:r>
              <w:rPr>
                <w:rFonts w:hint="eastAsia" w:ascii="Times New Roman" w:hAnsi="Times New Roman"/>
                <w:b/>
                <w:color w:val="auto"/>
              </w:rPr>
              <w:t>表3-1  201</w:t>
            </w:r>
            <w:r>
              <w:rPr>
                <w:rFonts w:hint="eastAsia" w:ascii="Times New Roman" w:hAnsi="Times New Roman"/>
                <w:b/>
                <w:color w:val="auto"/>
                <w:lang w:val="en-US" w:eastAsia="zh-CN"/>
              </w:rPr>
              <w:t>8</w:t>
            </w:r>
            <w:r>
              <w:rPr>
                <w:rFonts w:hint="eastAsia" w:ascii="Times New Roman" w:hAnsi="Times New Roman"/>
                <w:b/>
                <w:color w:val="auto"/>
              </w:rPr>
              <w:t>年沭阳县环境空气质量现状评价表</w:t>
            </w:r>
          </w:p>
          <w:tbl>
            <w:tblPr>
              <w:tblStyle w:val="34"/>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61"/>
              <w:gridCol w:w="1361"/>
              <w:gridCol w:w="1367"/>
              <w:gridCol w:w="1367"/>
              <w:gridCol w:w="1362"/>
              <w:gridCol w:w="13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1" w:type="dxa"/>
                  <w:vAlign w:val="center"/>
                </w:tcPr>
                <w:p>
                  <w:pPr>
                    <w:pStyle w:val="92"/>
                    <w:jc w:val="center"/>
                    <w:rPr>
                      <w:rFonts w:ascii="Times New Roman" w:hAnsi="Times New Roman"/>
                      <w:b/>
                      <w:color w:val="auto"/>
                      <w:sz w:val="21"/>
                      <w:szCs w:val="23"/>
                    </w:rPr>
                  </w:pPr>
                  <w:r>
                    <w:rPr>
                      <w:rFonts w:hint="eastAsia" w:ascii="Times New Roman" w:hAnsi="Times New Roman"/>
                      <w:b/>
                      <w:color w:val="auto"/>
                      <w:sz w:val="21"/>
                      <w:szCs w:val="23"/>
                    </w:rPr>
                    <w:t>污染物</w:t>
                  </w:r>
                </w:p>
              </w:tc>
              <w:tc>
                <w:tcPr>
                  <w:tcW w:w="1361" w:type="dxa"/>
                  <w:vAlign w:val="center"/>
                </w:tcPr>
                <w:p>
                  <w:pPr>
                    <w:pStyle w:val="92"/>
                    <w:jc w:val="center"/>
                    <w:rPr>
                      <w:rFonts w:ascii="Times New Roman" w:hAnsi="Times New Roman"/>
                      <w:b/>
                      <w:color w:val="auto"/>
                      <w:sz w:val="21"/>
                      <w:szCs w:val="23"/>
                    </w:rPr>
                  </w:pPr>
                  <w:r>
                    <w:rPr>
                      <w:rFonts w:hint="eastAsia" w:ascii="Times New Roman" w:hAnsi="Times New Roman"/>
                      <w:b/>
                      <w:color w:val="auto"/>
                      <w:sz w:val="21"/>
                      <w:szCs w:val="23"/>
                    </w:rPr>
                    <w:t>年评价指标</w:t>
                  </w:r>
                </w:p>
              </w:tc>
              <w:tc>
                <w:tcPr>
                  <w:tcW w:w="1367" w:type="dxa"/>
                  <w:vAlign w:val="center"/>
                </w:tcPr>
                <w:p>
                  <w:pPr>
                    <w:pStyle w:val="92"/>
                    <w:jc w:val="center"/>
                    <w:rPr>
                      <w:rFonts w:ascii="Times New Roman" w:hAnsi="Times New Roman"/>
                      <w:b/>
                      <w:color w:val="auto"/>
                      <w:sz w:val="21"/>
                      <w:szCs w:val="23"/>
                    </w:rPr>
                  </w:pPr>
                  <w:r>
                    <w:rPr>
                      <w:rFonts w:hint="eastAsia" w:ascii="Times New Roman" w:hAnsi="Times New Roman"/>
                      <w:b/>
                      <w:color w:val="auto"/>
                      <w:sz w:val="21"/>
                      <w:szCs w:val="23"/>
                    </w:rPr>
                    <w:t>现状浓度（ug/m</w:t>
                  </w:r>
                  <w:r>
                    <w:rPr>
                      <w:rFonts w:hint="eastAsia" w:ascii="Times New Roman" w:hAnsi="Times New Roman"/>
                      <w:b/>
                      <w:color w:val="auto"/>
                      <w:sz w:val="21"/>
                      <w:szCs w:val="23"/>
                      <w:vertAlign w:val="superscript"/>
                    </w:rPr>
                    <w:t>3</w:t>
                  </w:r>
                  <w:r>
                    <w:rPr>
                      <w:rFonts w:hint="eastAsia" w:ascii="Times New Roman" w:hAnsi="Times New Roman"/>
                      <w:b/>
                      <w:color w:val="auto"/>
                      <w:sz w:val="21"/>
                      <w:szCs w:val="23"/>
                    </w:rPr>
                    <w:t>）</w:t>
                  </w:r>
                </w:p>
              </w:tc>
              <w:tc>
                <w:tcPr>
                  <w:tcW w:w="1367" w:type="dxa"/>
                  <w:vAlign w:val="center"/>
                </w:tcPr>
                <w:p>
                  <w:pPr>
                    <w:pStyle w:val="92"/>
                    <w:jc w:val="center"/>
                    <w:rPr>
                      <w:rFonts w:ascii="Times New Roman" w:hAnsi="Times New Roman"/>
                      <w:b/>
                      <w:color w:val="auto"/>
                      <w:sz w:val="21"/>
                      <w:szCs w:val="23"/>
                    </w:rPr>
                  </w:pPr>
                  <w:r>
                    <w:rPr>
                      <w:rFonts w:hint="eastAsia" w:ascii="Times New Roman" w:hAnsi="Times New Roman"/>
                      <w:b/>
                      <w:color w:val="auto"/>
                      <w:sz w:val="21"/>
                      <w:szCs w:val="23"/>
                    </w:rPr>
                    <w:t>标准值（ug/m</w:t>
                  </w:r>
                  <w:r>
                    <w:rPr>
                      <w:rFonts w:hint="eastAsia" w:ascii="Times New Roman" w:hAnsi="Times New Roman"/>
                      <w:b/>
                      <w:color w:val="auto"/>
                      <w:sz w:val="21"/>
                      <w:szCs w:val="23"/>
                      <w:vertAlign w:val="superscript"/>
                    </w:rPr>
                    <w:t>3</w:t>
                  </w:r>
                  <w:r>
                    <w:rPr>
                      <w:rFonts w:hint="eastAsia" w:ascii="Times New Roman" w:hAnsi="Times New Roman"/>
                      <w:b/>
                      <w:color w:val="auto"/>
                      <w:sz w:val="21"/>
                      <w:szCs w:val="23"/>
                    </w:rPr>
                    <w:t>）</w:t>
                  </w:r>
                </w:p>
              </w:tc>
              <w:tc>
                <w:tcPr>
                  <w:tcW w:w="1362" w:type="dxa"/>
                  <w:vAlign w:val="center"/>
                </w:tcPr>
                <w:p>
                  <w:pPr>
                    <w:pStyle w:val="92"/>
                    <w:jc w:val="center"/>
                    <w:rPr>
                      <w:rFonts w:ascii="Times New Roman" w:hAnsi="Times New Roman"/>
                      <w:b/>
                      <w:color w:val="auto"/>
                      <w:sz w:val="21"/>
                      <w:szCs w:val="23"/>
                    </w:rPr>
                  </w:pPr>
                  <w:r>
                    <w:rPr>
                      <w:rFonts w:hint="eastAsia" w:ascii="Times New Roman" w:hAnsi="Times New Roman"/>
                      <w:b/>
                      <w:color w:val="auto"/>
                      <w:sz w:val="21"/>
                      <w:szCs w:val="23"/>
                    </w:rPr>
                    <w:t>占标率%</w:t>
                  </w:r>
                </w:p>
              </w:tc>
              <w:tc>
                <w:tcPr>
                  <w:tcW w:w="1362" w:type="dxa"/>
                  <w:vAlign w:val="center"/>
                </w:tcPr>
                <w:p>
                  <w:pPr>
                    <w:pStyle w:val="92"/>
                    <w:jc w:val="center"/>
                    <w:rPr>
                      <w:rFonts w:ascii="Times New Roman" w:hAnsi="Times New Roman"/>
                      <w:b/>
                      <w:color w:val="auto"/>
                      <w:sz w:val="21"/>
                      <w:szCs w:val="23"/>
                    </w:rPr>
                  </w:pPr>
                  <w:r>
                    <w:rPr>
                      <w:rFonts w:hint="eastAsia" w:ascii="Times New Roman" w:hAnsi="Times New Roman"/>
                      <w:b/>
                      <w:color w:val="auto"/>
                      <w:sz w:val="21"/>
                      <w:szCs w:val="23"/>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1" w:type="dxa"/>
                  <w:vAlign w:val="center"/>
                </w:tcPr>
                <w:p>
                  <w:pPr>
                    <w:pStyle w:val="92"/>
                    <w:jc w:val="center"/>
                    <w:rPr>
                      <w:rFonts w:ascii="Times New Roman" w:hAnsi="Times New Roman"/>
                      <w:color w:val="auto"/>
                      <w:sz w:val="21"/>
                      <w:szCs w:val="23"/>
                    </w:rPr>
                  </w:pPr>
                  <w:r>
                    <w:rPr>
                      <w:rFonts w:hint="eastAsia" w:ascii="Times New Roman" w:hAnsi="Times New Roman"/>
                      <w:color w:val="auto"/>
                      <w:sz w:val="21"/>
                      <w:szCs w:val="23"/>
                    </w:rPr>
                    <w:t>SO</w:t>
                  </w:r>
                  <w:r>
                    <w:rPr>
                      <w:rFonts w:hint="eastAsia" w:ascii="Times New Roman" w:hAnsi="Times New Roman"/>
                      <w:color w:val="auto"/>
                      <w:sz w:val="21"/>
                      <w:szCs w:val="23"/>
                      <w:vertAlign w:val="subscript"/>
                    </w:rPr>
                    <w:t>2</w:t>
                  </w:r>
                </w:p>
              </w:tc>
              <w:tc>
                <w:tcPr>
                  <w:tcW w:w="1361" w:type="dxa"/>
                  <w:vMerge w:val="restart"/>
                  <w:vAlign w:val="center"/>
                </w:tcPr>
                <w:p>
                  <w:pPr>
                    <w:pStyle w:val="92"/>
                    <w:jc w:val="center"/>
                    <w:rPr>
                      <w:rFonts w:ascii="Times New Roman" w:hAnsi="Times New Roman"/>
                      <w:color w:val="auto"/>
                      <w:sz w:val="21"/>
                      <w:szCs w:val="23"/>
                    </w:rPr>
                  </w:pPr>
                  <w:r>
                    <w:rPr>
                      <w:rFonts w:hint="eastAsia" w:ascii="Times New Roman" w:hAnsi="Times New Roman"/>
                      <w:color w:val="auto"/>
                      <w:sz w:val="21"/>
                      <w:szCs w:val="23"/>
                    </w:rPr>
                    <w:t>年平均质量浓度</w:t>
                  </w:r>
                </w:p>
              </w:tc>
              <w:tc>
                <w:tcPr>
                  <w:tcW w:w="1367" w:type="dxa"/>
                  <w:vAlign w:val="center"/>
                </w:tcPr>
                <w:p>
                  <w:pPr>
                    <w:pStyle w:val="92"/>
                    <w:jc w:val="center"/>
                    <w:rPr>
                      <w:rFonts w:hint="default" w:ascii="Times New Roman" w:hAnsi="Times New Roman" w:eastAsia="宋体"/>
                      <w:color w:val="auto"/>
                      <w:sz w:val="21"/>
                      <w:szCs w:val="23"/>
                      <w:lang w:val="en-US" w:eastAsia="zh-CN"/>
                    </w:rPr>
                  </w:pPr>
                  <w:r>
                    <w:rPr>
                      <w:rFonts w:hint="eastAsia" w:ascii="Times New Roman" w:hAnsi="Times New Roman"/>
                      <w:color w:val="auto"/>
                      <w:sz w:val="21"/>
                      <w:szCs w:val="23"/>
                      <w:lang w:val="en-US" w:eastAsia="zh-CN"/>
                    </w:rPr>
                    <w:t>23</w:t>
                  </w:r>
                </w:p>
              </w:tc>
              <w:tc>
                <w:tcPr>
                  <w:tcW w:w="1367" w:type="dxa"/>
                  <w:vAlign w:val="center"/>
                </w:tcPr>
                <w:p>
                  <w:pPr>
                    <w:pStyle w:val="92"/>
                    <w:jc w:val="center"/>
                    <w:rPr>
                      <w:rFonts w:ascii="Times New Roman" w:hAnsi="Times New Roman"/>
                      <w:color w:val="auto"/>
                      <w:sz w:val="21"/>
                      <w:szCs w:val="23"/>
                    </w:rPr>
                  </w:pPr>
                  <w:r>
                    <w:rPr>
                      <w:rFonts w:hint="eastAsia" w:ascii="Times New Roman" w:hAnsi="Times New Roman"/>
                      <w:color w:val="auto"/>
                      <w:sz w:val="21"/>
                      <w:szCs w:val="23"/>
                    </w:rPr>
                    <w:t>60</w:t>
                  </w:r>
                </w:p>
              </w:tc>
              <w:tc>
                <w:tcPr>
                  <w:tcW w:w="1362" w:type="dxa"/>
                  <w:vAlign w:val="center"/>
                </w:tcPr>
                <w:p>
                  <w:pPr>
                    <w:pStyle w:val="92"/>
                    <w:jc w:val="center"/>
                    <w:rPr>
                      <w:rFonts w:ascii="Times New Roman" w:hAnsi="Times New Roman"/>
                      <w:color w:val="auto"/>
                      <w:sz w:val="21"/>
                      <w:szCs w:val="23"/>
                    </w:rPr>
                  </w:pPr>
                </w:p>
              </w:tc>
              <w:tc>
                <w:tcPr>
                  <w:tcW w:w="1362" w:type="dxa"/>
                  <w:vAlign w:val="center"/>
                </w:tcPr>
                <w:p>
                  <w:pPr>
                    <w:pStyle w:val="92"/>
                    <w:jc w:val="center"/>
                    <w:rPr>
                      <w:rFonts w:ascii="Times New Roman" w:hAnsi="Times New Roman"/>
                      <w:color w:val="auto"/>
                      <w:sz w:val="21"/>
                      <w:szCs w:val="23"/>
                    </w:rPr>
                  </w:pPr>
                  <w:r>
                    <w:rPr>
                      <w:rFonts w:hint="eastAsia" w:ascii="Times New Roman" w:hAnsi="Times New Roman"/>
                      <w:color w:val="auto"/>
                      <w:sz w:val="21"/>
                      <w:szCs w:val="23"/>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1" w:type="dxa"/>
                  <w:vAlign w:val="center"/>
                </w:tcPr>
                <w:p>
                  <w:pPr>
                    <w:pStyle w:val="92"/>
                    <w:jc w:val="center"/>
                    <w:rPr>
                      <w:rFonts w:ascii="Times New Roman" w:hAnsi="Times New Roman"/>
                      <w:color w:val="auto"/>
                      <w:sz w:val="21"/>
                      <w:szCs w:val="23"/>
                    </w:rPr>
                  </w:pPr>
                  <w:r>
                    <w:rPr>
                      <w:rFonts w:hint="eastAsia" w:ascii="Times New Roman" w:hAnsi="Times New Roman"/>
                      <w:color w:val="auto"/>
                      <w:sz w:val="21"/>
                      <w:szCs w:val="23"/>
                    </w:rPr>
                    <w:t>NO</w:t>
                  </w:r>
                  <w:r>
                    <w:rPr>
                      <w:rFonts w:hint="eastAsia" w:ascii="Times New Roman" w:hAnsi="Times New Roman"/>
                      <w:color w:val="auto"/>
                      <w:sz w:val="21"/>
                      <w:szCs w:val="23"/>
                      <w:vertAlign w:val="subscript"/>
                    </w:rPr>
                    <w:t>2</w:t>
                  </w:r>
                </w:p>
              </w:tc>
              <w:tc>
                <w:tcPr>
                  <w:tcW w:w="1361" w:type="dxa"/>
                  <w:vMerge w:val="continue"/>
                  <w:vAlign w:val="center"/>
                </w:tcPr>
                <w:p>
                  <w:pPr>
                    <w:pStyle w:val="92"/>
                    <w:jc w:val="center"/>
                    <w:rPr>
                      <w:rFonts w:ascii="Times New Roman" w:hAnsi="Times New Roman"/>
                      <w:color w:val="auto"/>
                      <w:sz w:val="21"/>
                      <w:szCs w:val="23"/>
                    </w:rPr>
                  </w:pPr>
                </w:p>
              </w:tc>
              <w:tc>
                <w:tcPr>
                  <w:tcW w:w="1367" w:type="dxa"/>
                  <w:vAlign w:val="center"/>
                </w:tcPr>
                <w:p>
                  <w:pPr>
                    <w:pStyle w:val="92"/>
                    <w:jc w:val="center"/>
                    <w:rPr>
                      <w:rFonts w:hint="default" w:ascii="Times New Roman" w:hAnsi="Times New Roman" w:eastAsia="宋体"/>
                      <w:color w:val="auto"/>
                      <w:sz w:val="21"/>
                      <w:szCs w:val="23"/>
                      <w:lang w:val="en-US" w:eastAsia="zh-CN"/>
                    </w:rPr>
                  </w:pPr>
                  <w:r>
                    <w:rPr>
                      <w:rFonts w:hint="eastAsia" w:ascii="Times New Roman" w:hAnsi="Times New Roman"/>
                      <w:color w:val="auto"/>
                      <w:sz w:val="21"/>
                      <w:szCs w:val="23"/>
                      <w:lang w:val="en-US" w:eastAsia="zh-CN"/>
                    </w:rPr>
                    <w:t>21</w:t>
                  </w:r>
                </w:p>
              </w:tc>
              <w:tc>
                <w:tcPr>
                  <w:tcW w:w="1367" w:type="dxa"/>
                  <w:vAlign w:val="center"/>
                </w:tcPr>
                <w:p>
                  <w:pPr>
                    <w:pStyle w:val="92"/>
                    <w:jc w:val="center"/>
                    <w:rPr>
                      <w:rFonts w:ascii="Times New Roman" w:hAnsi="Times New Roman"/>
                      <w:color w:val="auto"/>
                      <w:sz w:val="21"/>
                      <w:szCs w:val="23"/>
                    </w:rPr>
                  </w:pPr>
                  <w:r>
                    <w:rPr>
                      <w:rFonts w:hint="eastAsia" w:ascii="Times New Roman" w:hAnsi="Times New Roman"/>
                      <w:color w:val="auto"/>
                      <w:sz w:val="21"/>
                      <w:szCs w:val="23"/>
                    </w:rPr>
                    <w:t>40</w:t>
                  </w:r>
                </w:p>
              </w:tc>
              <w:tc>
                <w:tcPr>
                  <w:tcW w:w="1362" w:type="dxa"/>
                  <w:vAlign w:val="center"/>
                </w:tcPr>
                <w:p>
                  <w:pPr>
                    <w:pStyle w:val="92"/>
                    <w:jc w:val="center"/>
                    <w:rPr>
                      <w:rFonts w:ascii="Times New Roman" w:hAnsi="Times New Roman"/>
                      <w:color w:val="auto"/>
                      <w:sz w:val="21"/>
                      <w:szCs w:val="23"/>
                    </w:rPr>
                  </w:pPr>
                </w:p>
              </w:tc>
              <w:tc>
                <w:tcPr>
                  <w:tcW w:w="1362" w:type="dxa"/>
                  <w:vAlign w:val="center"/>
                </w:tcPr>
                <w:p>
                  <w:pPr>
                    <w:pStyle w:val="92"/>
                    <w:jc w:val="center"/>
                    <w:rPr>
                      <w:rFonts w:ascii="Times New Roman" w:hAnsi="Times New Roman"/>
                      <w:color w:val="auto"/>
                      <w:sz w:val="21"/>
                      <w:szCs w:val="23"/>
                    </w:rPr>
                  </w:pPr>
                  <w:r>
                    <w:rPr>
                      <w:rFonts w:hint="eastAsia" w:ascii="Times New Roman" w:hAnsi="Times New Roman"/>
                      <w:color w:val="auto"/>
                      <w:sz w:val="21"/>
                      <w:szCs w:val="23"/>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1" w:type="dxa"/>
                  <w:vAlign w:val="center"/>
                </w:tcPr>
                <w:p>
                  <w:pPr>
                    <w:pStyle w:val="92"/>
                    <w:jc w:val="center"/>
                    <w:rPr>
                      <w:rFonts w:ascii="Times New Roman" w:hAnsi="Times New Roman"/>
                      <w:color w:val="auto"/>
                      <w:sz w:val="21"/>
                      <w:szCs w:val="23"/>
                    </w:rPr>
                  </w:pPr>
                  <w:r>
                    <w:rPr>
                      <w:rFonts w:hint="eastAsia" w:ascii="Times New Roman" w:hAnsi="Times New Roman"/>
                      <w:color w:val="auto"/>
                      <w:sz w:val="21"/>
                      <w:szCs w:val="23"/>
                    </w:rPr>
                    <w:t>PM</w:t>
                  </w:r>
                  <w:r>
                    <w:rPr>
                      <w:rFonts w:hint="eastAsia" w:ascii="Times New Roman" w:hAnsi="Times New Roman"/>
                      <w:color w:val="auto"/>
                      <w:sz w:val="21"/>
                      <w:szCs w:val="23"/>
                      <w:vertAlign w:val="subscript"/>
                    </w:rPr>
                    <w:t>10</w:t>
                  </w:r>
                </w:p>
              </w:tc>
              <w:tc>
                <w:tcPr>
                  <w:tcW w:w="1361" w:type="dxa"/>
                  <w:vMerge w:val="continue"/>
                  <w:vAlign w:val="center"/>
                </w:tcPr>
                <w:p>
                  <w:pPr>
                    <w:pStyle w:val="92"/>
                    <w:jc w:val="center"/>
                    <w:rPr>
                      <w:rFonts w:ascii="Times New Roman" w:hAnsi="Times New Roman"/>
                      <w:color w:val="auto"/>
                      <w:sz w:val="21"/>
                      <w:szCs w:val="23"/>
                    </w:rPr>
                  </w:pPr>
                </w:p>
              </w:tc>
              <w:tc>
                <w:tcPr>
                  <w:tcW w:w="1367" w:type="dxa"/>
                  <w:vAlign w:val="center"/>
                </w:tcPr>
                <w:p>
                  <w:pPr>
                    <w:pStyle w:val="92"/>
                    <w:jc w:val="center"/>
                    <w:rPr>
                      <w:rFonts w:hint="eastAsia" w:ascii="Times New Roman" w:hAnsi="Times New Roman" w:eastAsia="宋体"/>
                      <w:color w:val="auto"/>
                      <w:sz w:val="21"/>
                      <w:szCs w:val="23"/>
                      <w:lang w:val="en-US" w:eastAsia="zh-CN"/>
                    </w:rPr>
                  </w:pPr>
                  <w:r>
                    <w:rPr>
                      <w:rFonts w:hint="eastAsia" w:ascii="Times New Roman" w:hAnsi="Times New Roman"/>
                      <w:color w:val="auto"/>
                      <w:sz w:val="21"/>
                      <w:szCs w:val="23"/>
                    </w:rPr>
                    <w:t>7</w:t>
                  </w:r>
                  <w:r>
                    <w:rPr>
                      <w:rFonts w:hint="eastAsia" w:ascii="Times New Roman" w:hAnsi="Times New Roman"/>
                      <w:color w:val="auto"/>
                      <w:sz w:val="21"/>
                      <w:szCs w:val="23"/>
                      <w:lang w:val="en-US" w:eastAsia="zh-CN"/>
                    </w:rPr>
                    <w:t>6</w:t>
                  </w:r>
                </w:p>
              </w:tc>
              <w:tc>
                <w:tcPr>
                  <w:tcW w:w="1367" w:type="dxa"/>
                  <w:vAlign w:val="center"/>
                </w:tcPr>
                <w:p>
                  <w:pPr>
                    <w:pStyle w:val="92"/>
                    <w:jc w:val="center"/>
                    <w:rPr>
                      <w:rFonts w:ascii="Times New Roman" w:hAnsi="Times New Roman"/>
                      <w:color w:val="auto"/>
                      <w:sz w:val="21"/>
                      <w:szCs w:val="23"/>
                    </w:rPr>
                  </w:pPr>
                  <w:r>
                    <w:rPr>
                      <w:rFonts w:hint="eastAsia" w:ascii="Times New Roman" w:hAnsi="Times New Roman"/>
                      <w:color w:val="auto"/>
                      <w:sz w:val="21"/>
                      <w:szCs w:val="23"/>
                    </w:rPr>
                    <w:t>70</w:t>
                  </w:r>
                </w:p>
              </w:tc>
              <w:tc>
                <w:tcPr>
                  <w:tcW w:w="1362" w:type="dxa"/>
                  <w:vAlign w:val="center"/>
                </w:tcPr>
                <w:p>
                  <w:pPr>
                    <w:pStyle w:val="92"/>
                    <w:jc w:val="center"/>
                    <w:rPr>
                      <w:rFonts w:ascii="Times New Roman" w:hAnsi="Times New Roman"/>
                      <w:color w:val="auto"/>
                      <w:sz w:val="21"/>
                      <w:szCs w:val="23"/>
                    </w:rPr>
                  </w:pPr>
                </w:p>
              </w:tc>
              <w:tc>
                <w:tcPr>
                  <w:tcW w:w="1362" w:type="dxa"/>
                  <w:vAlign w:val="center"/>
                </w:tcPr>
                <w:p>
                  <w:pPr>
                    <w:pStyle w:val="92"/>
                    <w:jc w:val="center"/>
                    <w:rPr>
                      <w:rFonts w:ascii="Times New Roman" w:hAnsi="Times New Roman"/>
                      <w:color w:val="auto"/>
                      <w:sz w:val="21"/>
                      <w:szCs w:val="23"/>
                    </w:rPr>
                  </w:pPr>
                  <w:r>
                    <w:rPr>
                      <w:rFonts w:hint="eastAsia" w:ascii="Times New Roman" w:hAnsi="Times New Roman"/>
                      <w:color w:val="auto"/>
                      <w:sz w:val="21"/>
                      <w:szCs w:val="23"/>
                    </w:rPr>
                    <w:t>不达标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1" w:type="dxa"/>
                  <w:vAlign w:val="center"/>
                </w:tcPr>
                <w:p>
                  <w:pPr>
                    <w:pStyle w:val="92"/>
                    <w:jc w:val="center"/>
                    <w:rPr>
                      <w:rFonts w:ascii="Times New Roman" w:hAnsi="Times New Roman"/>
                      <w:color w:val="auto"/>
                      <w:sz w:val="21"/>
                      <w:szCs w:val="23"/>
                    </w:rPr>
                  </w:pPr>
                  <w:r>
                    <w:rPr>
                      <w:rFonts w:hint="eastAsia" w:ascii="Times New Roman" w:hAnsi="Times New Roman"/>
                      <w:color w:val="auto"/>
                      <w:sz w:val="21"/>
                      <w:szCs w:val="23"/>
                    </w:rPr>
                    <w:t>PM</w:t>
                  </w:r>
                  <w:r>
                    <w:rPr>
                      <w:rFonts w:hint="eastAsia" w:ascii="Times New Roman" w:hAnsi="Times New Roman"/>
                      <w:color w:val="auto"/>
                      <w:sz w:val="21"/>
                      <w:szCs w:val="23"/>
                      <w:vertAlign w:val="subscript"/>
                    </w:rPr>
                    <w:t>2.5</w:t>
                  </w:r>
                </w:p>
              </w:tc>
              <w:tc>
                <w:tcPr>
                  <w:tcW w:w="1361" w:type="dxa"/>
                  <w:vMerge w:val="continue"/>
                  <w:vAlign w:val="center"/>
                </w:tcPr>
                <w:p>
                  <w:pPr>
                    <w:pStyle w:val="92"/>
                    <w:jc w:val="center"/>
                    <w:rPr>
                      <w:rFonts w:ascii="Times New Roman" w:hAnsi="Times New Roman"/>
                      <w:color w:val="auto"/>
                      <w:sz w:val="21"/>
                      <w:szCs w:val="23"/>
                    </w:rPr>
                  </w:pPr>
                </w:p>
              </w:tc>
              <w:tc>
                <w:tcPr>
                  <w:tcW w:w="1367" w:type="dxa"/>
                  <w:vAlign w:val="center"/>
                </w:tcPr>
                <w:p>
                  <w:pPr>
                    <w:pStyle w:val="92"/>
                    <w:jc w:val="center"/>
                    <w:rPr>
                      <w:rFonts w:hint="eastAsia" w:ascii="Times New Roman" w:hAnsi="Times New Roman" w:eastAsia="宋体"/>
                      <w:color w:val="auto"/>
                      <w:sz w:val="21"/>
                      <w:szCs w:val="23"/>
                      <w:lang w:val="en-US" w:eastAsia="zh-CN"/>
                    </w:rPr>
                  </w:pPr>
                  <w:r>
                    <w:rPr>
                      <w:rFonts w:hint="eastAsia" w:ascii="Times New Roman" w:hAnsi="Times New Roman"/>
                      <w:color w:val="auto"/>
                      <w:sz w:val="21"/>
                      <w:szCs w:val="23"/>
                    </w:rPr>
                    <w:t>4</w:t>
                  </w:r>
                  <w:r>
                    <w:rPr>
                      <w:rFonts w:hint="eastAsia" w:ascii="Times New Roman" w:hAnsi="Times New Roman"/>
                      <w:color w:val="auto"/>
                      <w:sz w:val="21"/>
                      <w:szCs w:val="23"/>
                      <w:lang w:val="en-US" w:eastAsia="zh-CN"/>
                    </w:rPr>
                    <w:t>5</w:t>
                  </w:r>
                </w:p>
              </w:tc>
              <w:tc>
                <w:tcPr>
                  <w:tcW w:w="1367" w:type="dxa"/>
                  <w:vAlign w:val="center"/>
                </w:tcPr>
                <w:p>
                  <w:pPr>
                    <w:pStyle w:val="92"/>
                    <w:jc w:val="center"/>
                    <w:rPr>
                      <w:rFonts w:ascii="Times New Roman" w:hAnsi="Times New Roman"/>
                      <w:color w:val="auto"/>
                      <w:sz w:val="21"/>
                      <w:szCs w:val="23"/>
                    </w:rPr>
                  </w:pPr>
                  <w:r>
                    <w:rPr>
                      <w:rFonts w:hint="eastAsia" w:ascii="Times New Roman" w:hAnsi="Times New Roman"/>
                      <w:color w:val="auto"/>
                      <w:sz w:val="21"/>
                      <w:szCs w:val="23"/>
                    </w:rPr>
                    <w:t>35</w:t>
                  </w:r>
                </w:p>
              </w:tc>
              <w:tc>
                <w:tcPr>
                  <w:tcW w:w="1362" w:type="dxa"/>
                  <w:vAlign w:val="center"/>
                </w:tcPr>
                <w:p>
                  <w:pPr>
                    <w:pStyle w:val="92"/>
                    <w:jc w:val="center"/>
                    <w:rPr>
                      <w:rFonts w:ascii="Times New Roman" w:hAnsi="Times New Roman"/>
                      <w:color w:val="auto"/>
                      <w:sz w:val="21"/>
                      <w:szCs w:val="23"/>
                    </w:rPr>
                  </w:pPr>
                </w:p>
              </w:tc>
              <w:tc>
                <w:tcPr>
                  <w:tcW w:w="1362" w:type="dxa"/>
                  <w:vAlign w:val="center"/>
                </w:tcPr>
                <w:p>
                  <w:pPr>
                    <w:pStyle w:val="92"/>
                    <w:jc w:val="center"/>
                    <w:rPr>
                      <w:rFonts w:ascii="Times New Roman" w:hAnsi="Times New Roman"/>
                      <w:color w:val="auto"/>
                      <w:sz w:val="21"/>
                      <w:szCs w:val="23"/>
                    </w:rPr>
                  </w:pPr>
                  <w:r>
                    <w:rPr>
                      <w:rFonts w:hint="eastAsia" w:ascii="Times New Roman" w:hAnsi="Times New Roman"/>
                      <w:color w:val="auto"/>
                      <w:sz w:val="21"/>
                      <w:szCs w:val="23"/>
                    </w:rPr>
                    <w:t>不达标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1" w:type="dxa"/>
                  <w:vAlign w:val="center"/>
                </w:tcPr>
                <w:p>
                  <w:pPr>
                    <w:pStyle w:val="92"/>
                    <w:jc w:val="center"/>
                    <w:rPr>
                      <w:rFonts w:ascii="Times New Roman" w:hAnsi="Times New Roman"/>
                      <w:color w:val="auto"/>
                      <w:sz w:val="21"/>
                      <w:szCs w:val="23"/>
                    </w:rPr>
                  </w:pPr>
                  <w:r>
                    <w:rPr>
                      <w:rFonts w:hint="eastAsia" w:ascii="Times New Roman" w:hAnsi="Times New Roman"/>
                      <w:color w:val="auto"/>
                      <w:sz w:val="21"/>
                      <w:szCs w:val="23"/>
                    </w:rPr>
                    <w:t>O</w:t>
                  </w:r>
                  <w:r>
                    <w:rPr>
                      <w:rFonts w:hint="eastAsia" w:ascii="Times New Roman" w:hAnsi="Times New Roman"/>
                      <w:color w:val="auto"/>
                      <w:sz w:val="21"/>
                      <w:szCs w:val="23"/>
                      <w:vertAlign w:val="subscript"/>
                    </w:rPr>
                    <w:t>3</w:t>
                  </w:r>
                </w:p>
              </w:tc>
              <w:tc>
                <w:tcPr>
                  <w:tcW w:w="1361" w:type="dxa"/>
                  <w:vAlign w:val="center"/>
                </w:tcPr>
                <w:p>
                  <w:pPr>
                    <w:pStyle w:val="92"/>
                    <w:jc w:val="center"/>
                    <w:rPr>
                      <w:rFonts w:ascii="Times New Roman" w:hAnsi="Times New Roman"/>
                      <w:color w:val="auto"/>
                      <w:sz w:val="21"/>
                      <w:szCs w:val="23"/>
                    </w:rPr>
                  </w:pPr>
                  <w:r>
                    <w:rPr>
                      <w:rFonts w:hint="eastAsia" w:ascii="Times New Roman" w:hAnsi="Times New Roman"/>
                      <w:color w:val="auto"/>
                      <w:sz w:val="21"/>
                      <w:szCs w:val="23"/>
                    </w:rPr>
                    <w:t>日最大8小时平均浓度</w:t>
                  </w:r>
                </w:p>
              </w:tc>
              <w:tc>
                <w:tcPr>
                  <w:tcW w:w="1367" w:type="dxa"/>
                  <w:vAlign w:val="center"/>
                </w:tcPr>
                <w:p>
                  <w:pPr>
                    <w:pStyle w:val="92"/>
                    <w:jc w:val="center"/>
                    <w:rPr>
                      <w:rFonts w:hint="default" w:ascii="Times New Roman" w:hAnsi="Times New Roman" w:eastAsia="宋体"/>
                      <w:color w:val="auto"/>
                      <w:sz w:val="21"/>
                      <w:szCs w:val="23"/>
                      <w:lang w:val="en-US" w:eastAsia="zh-CN"/>
                    </w:rPr>
                  </w:pPr>
                  <w:r>
                    <w:rPr>
                      <w:rFonts w:hint="eastAsia" w:ascii="Times New Roman" w:hAnsi="Times New Roman"/>
                      <w:color w:val="auto"/>
                      <w:sz w:val="21"/>
                      <w:szCs w:val="23"/>
                      <w:lang w:val="en-US" w:eastAsia="zh-CN"/>
                    </w:rPr>
                    <w:t>65</w:t>
                  </w:r>
                </w:p>
              </w:tc>
              <w:tc>
                <w:tcPr>
                  <w:tcW w:w="1367" w:type="dxa"/>
                  <w:vAlign w:val="center"/>
                </w:tcPr>
                <w:p>
                  <w:pPr>
                    <w:pStyle w:val="92"/>
                    <w:jc w:val="center"/>
                    <w:rPr>
                      <w:rFonts w:ascii="Times New Roman" w:hAnsi="Times New Roman"/>
                      <w:color w:val="auto"/>
                      <w:sz w:val="21"/>
                      <w:szCs w:val="23"/>
                    </w:rPr>
                  </w:pPr>
                  <w:r>
                    <w:rPr>
                      <w:rFonts w:hint="eastAsia" w:ascii="Times New Roman" w:hAnsi="Times New Roman"/>
                      <w:color w:val="auto"/>
                      <w:sz w:val="21"/>
                      <w:szCs w:val="23"/>
                    </w:rPr>
                    <w:t>160</w:t>
                  </w:r>
                </w:p>
              </w:tc>
              <w:tc>
                <w:tcPr>
                  <w:tcW w:w="1362" w:type="dxa"/>
                  <w:vAlign w:val="center"/>
                </w:tcPr>
                <w:p>
                  <w:pPr>
                    <w:pStyle w:val="92"/>
                    <w:jc w:val="center"/>
                    <w:rPr>
                      <w:rFonts w:ascii="Times New Roman" w:hAnsi="Times New Roman"/>
                      <w:color w:val="auto"/>
                      <w:sz w:val="21"/>
                      <w:szCs w:val="23"/>
                    </w:rPr>
                  </w:pPr>
                </w:p>
              </w:tc>
              <w:tc>
                <w:tcPr>
                  <w:tcW w:w="1362" w:type="dxa"/>
                  <w:vAlign w:val="center"/>
                </w:tcPr>
                <w:p>
                  <w:pPr>
                    <w:pStyle w:val="92"/>
                    <w:jc w:val="center"/>
                    <w:rPr>
                      <w:rFonts w:ascii="Times New Roman" w:hAnsi="Times New Roman"/>
                      <w:color w:val="auto"/>
                      <w:sz w:val="21"/>
                      <w:szCs w:val="23"/>
                    </w:rPr>
                  </w:pPr>
                  <w:r>
                    <w:rPr>
                      <w:rFonts w:hint="eastAsia" w:ascii="Times New Roman" w:hAnsi="Times New Roman"/>
                      <w:color w:val="auto"/>
                      <w:sz w:val="21"/>
                      <w:szCs w:val="23"/>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1" w:type="dxa"/>
                  <w:vAlign w:val="center"/>
                </w:tcPr>
                <w:p>
                  <w:pPr>
                    <w:pStyle w:val="92"/>
                    <w:jc w:val="center"/>
                    <w:rPr>
                      <w:rFonts w:ascii="Times New Roman" w:hAnsi="Times New Roman"/>
                      <w:color w:val="auto"/>
                      <w:sz w:val="21"/>
                      <w:szCs w:val="23"/>
                    </w:rPr>
                  </w:pPr>
                  <w:r>
                    <w:rPr>
                      <w:rFonts w:hint="eastAsia" w:ascii="Times New Roman" w:hAnsi="Times New Roman"/>
                      <w:color w:val="auto"/>
                      <w:sz w:val="21"/>
                      <w:szCs w:val="23"/>
                    </w:rPr>
                    <w:t>CO</w:t>
                  </w:r>
                </w:p>
              </w:tc>
              <w:tc>
                <w:tcPr>
                  <w:tcW w:w="1361" w:type="dxa"/>
                  <w:vAlign w:val="center"/>
                </w:tcPr>
                <w:p>
                  <w:pPr>
                    <w:pStyle w:val="92"/>
                    <w:jc w:val="center"/>
                    <w:rPr>
                      <w:rFonts w:ascii="Times New Roman" w:hAnsi="Times New Roman"/>
                      <w:color w:val="auto"/>
                      <w:sz w:val="21"/>
                      <w:szCs w:val="23"/>
                    </w:rPr>
                  </w:pPr>
                  <w:r>
                    <w:rPr>
                      <w:rFonts w:hint="eastAsia" w:ascii="Times New Roman" w:hAnsi="Times New Roman"/>
                      <w:color w:val="auto"/>
                      <w:sz w:val="21"/>
                      <w:szCs w:val="23"/>
                    </w:rPr>
                    <w:t>24小时平均浓度</w:t>
                  </w:r>
                </w:p>
              </w:tc>
              <w:tc>
                <w:tcPr>
                  <w:tcW w:w="1367" w:type="dxa"/>
                  <w:vAlign w:val="center"/>
                </w:tcPr>
                <w:p>
                  <w:pPr>
                    <w:pStyle w:val="92"/>
                    <w:jc w:val="center"/>
                    <w:rPr>
                      <w:rFonts w:hint="default" w:ascii="Times New Roman" w:hAnsi="Times New Roman" w:eastAsia="宋体"/>
                      <w:color w:val="auto"/>
                      <w:sz w:val="21"/>
                      <w:szCs w:val="23"/>
                      <w:lang w:val="en-US" w:eastAsia="zh-CN"/>
                    </w:rPr>
                  </w:pPr>
                  <w:r>
                    <w:rPr>
                      <w:rFonts w:hint="eastAsia" w:ascii="Times New Roman" w:hAnsi="Times New Roman"/>
                      <w:color w:val="auto"/>
                      <w:sz w:val="21"/>
                      <w:szCs w:val="23"/>
                      <w:lang w:val="en-US" w:eastAsia="zh-CN"/>
                    </w:rPr>
                    <w:t>1395</w:t>
                  </w:r>
                </w:p>
              </w:tc>
              <w:tc>
                <w:tcPr>
                  <w:tcW w:w="1367" w:type="dxa"/>
                  <w:vAlign w:val="center"/>
                </w:tcPr>
                <w:p>
                  <w:pPr>
                    <w:pStyle w:val="92"/>
                    <w:jc w:val="center"/>
                    <w:rPr>
                      <w:rFonts w:ascii="Times New Roman" w:hAnsi="Times New Roman"/>
                      <w:color w:val="auto"/>
                      <w:sz w:val="21"/>
                      <w:szCs w:val="23"/>
                    </w:rPr>
                  </w:pPr>
                  <w:r>
                    <w:rPr>
                      <w:rFonts w:hint="eastAsia" w:ascii="Times New Roman" w:hAnsi="Times New Roman"/>
                      <w:color w:val="auto"/>
                      <w:sz w:val="21"/>
                      <w:szCs w:val="23"/>
                    </w:rPr>
                    <w:t>4000</w:t>
                  </w:r>
                </w:p>
              </w:tc>
              <w:tc>
                <w:tcPr>
                  <w:tcW w:w="1362" w:type="dxa"/>
                  <w:vAlign w:val="center"/>
                </w:tcPr>
                <w:p>
                  <w:pPr>
                    <w:pStyle w:val="92"/>
                    <w:jc w:val="center"/>
                    <w:rPr>
                      <w:rFonts w:ascii="Times New Roman" w:hAnsi="Times New Roman"/>
                      <w:color w:val="auto"/>
                      <w:sz w:val="21"/>
                      <w:szCs w:val="23"/>
                    </w:rPr>
                  </w:pPr>
                </w:p>
              </w:tc>
              <w:tc>
                <w:tcPr>
                  <w:tcW w:w="1362" w:type="dxa"/>
                  <w:vAlign w:val="center"/>
                </w:tcPr>
                <w:p>
                  <w:pPr>
                    <w:pStyle w:val="92"/>
                    <w:jc w:val="center"/>
                    <w:rPr>
                      <w:rFonts w:ascii="Times New Roman" w:hAnsi="Times New Roman"/>
                      <w:color w:val="auto"/>
                      <w:sz w:val="21"/>
                      <w:szCs w:val="23"/>
                    </w:rPr>
                  </w:pPr>
                  <w:r>
                    <w:rPr>
                      <w:rFonts w:hint="eastAsia" w:ascii="Times New Roman" w:hAnsi="Times New Roman"/>
                      <w:color w:val="auto"/>
                      <w:sz w:val="21"/>
                      <w:szCs w:val="23"/>
                    </w:rPr>
                    <w:t>达标</w:t>
                  </w:r>
                </w:p>
              </w:tc>
            </w:tr>
          </w:tbl>
          <w:p>
            <w:pPr>
              <w:pStyle w:val="17"/>
              <w:widowControl/>
              <w:spacing w:beforeLines="50"/>
              <w:ind w:firstLine="480" w:firstLineChars="200"/>
              <w:rPr>
                <w:b/>
                <w:bCs/>
                <w:szCs w:val="24"/>
              </w:rPr>
            </w:pPr>
            <w:r>
              <w:rPr>
                <w:b/>
                <w:bCs/>
              </w:rPr>
              <w:t>2</w:t>
            </w:r>
            <w:r>
              <w:rPr>
                <w:rFonts w:hint="eastAsia"/>
                <w:b/>
                <w:bCs/>
              </w:rPr>
              <w:t>、水环境质量状况</w:t>
            </w:r>
          </w:p>
          <w:p>
            <w:pPr>
              <w:adjustRightInd w:val="0"/>
              <w:snapToGrid w:val="0"/>
              <w:spacing w:line="360" w:lineRule="auto"/>
              <w:ind w:firstLine="480" w:firstLineChars="200"/>
              <w:rPr>
                <w:sz w:val="24"/>
                <w:szCs w:val="24"/>
              </w:rPr>
            </w:pPr>
            <w:r>
              <w:rPr>
                <w:rFonts w:hint="eastAsia"/>
                <w:sz w:val="24"/>
                <w:szCs w:val="24"/>
              </w:rPr>
              <w:t>建设项目</w:t>
            </w:r>
            <w:r>
              <w:rPr>
                <w:rFonts w:hint="eastAsia"/>
                <w:sz w:val="24"/>
                <w:szCs w:val="24"/>
                <w:lang w:eastAsia="zh-CN"/>
              </w:rPr>
              <w:t>最近</w:t>
            </w:r>
            <w:r>
              <w:rPr>
                <w:rFonts w:hint="eastAsia"/>
                <w:sz w:val="24"/>
                <w:szCs w:val="24"/>
              </w:rPr>
              <w:t>河流为</w:t>
            </w:r>
            <w:r>
              <w:rPr>
                <w:rFonts w:hint="eastAsia"/>
                <w:sz w:val="24"/>
                <w:szCs w:val="24"/>
                <w:lang w:eastAsia="zh-CN"/>
              </w:rPr>
              <w:t>后沭河</w:t>
            </w:r>
            <w:r>
              <w:rPr>
                <w:rFonts w:hint="eastAsia"/>
                <w:sz w:val="24"/>
                <w:szCs w:val="24"/>
              </w:rPr>
              <w:t>。</w:t>
            </w:r>
            <w:r>
              <w:rPr>
                <w:rFonts w:hint="eastAsia"/>
                <w:sz w:val="24"/>
                <w:szCs w:val="24"/>
                <w:lang w:eastAsia="zh-CN"/>
              </w:rPr>
              <w:t>根</w:t>
            </w:r>
            <w:r>
              <w:rPr>
                <w:sz w:val="24"/>
                <w:szCs w:val="24"/>
              </w:rPr>
              <w:t>据《2018沭阳环境质量报告书》中的监测数据，</w:t>
            </w:r>
            <w:r>
              <w:rPr>
                <w:rFonts w:hint="eastAsia"/>
                <w:sz w:val="24"/>
                <w:szCs w:val="24"/>
                <w:lang w:eastAsia="zh-CN"/>
              </w:rPr>
              <w:t>无后沭河数据，后沭河最终流向新沂河，新沂河</w:t>
            </w:r>
            <w:r>
              <w:rPr>
                <w:rFonts w:hint="eastAsia"/>
                <w:sz w:val="24"/>
                <w:szCs w:val="24"/>
              </w:rPr>
              <w:t>主要水质指标达到《地表水环境质量标准》</w:t>
            </w:r>
            <w:r>
              <w:rPr>
                <w:rFonts w:hint="eastAsia" w:ascii="宋体" w:hAnsi="宋体"/>
                <w:sz w:val="24"/>
                <w:szCs w:val="24"/>
              </w:rPr>
              <w:t>(</w:t>
            </w:r>
            <w:r>
              <w:rPr>
                <w:sz w:val="24"/>
                <w:szCs w:val="24"/>
              </w:rPr>
              <w:t>GB3838-2002</w:t>
            </w:r>
            <w:r>
              <w:rPr>
                <w:rFonts w:hint="eastAsia" w:ascii="宋体" w:hAnsi="宋体"/>
                <w:sz w:val="24"/>
                <w:szCs w:val="24"/>
              </w:rPr>
              <w:t>)</w:t>
            </w:r>
            <w:r>
              <w:rPr>
                <w:rFonts w:hint="eastAsia"/>
                <w:sz w:val="24"/>
                <w:szCs w:val="24"/>
              </w:rPr>
              <w:t>中</w:t>
            </w:r>
            <w:r>
              <w:rPr>
                <w:rFonts w:hint="eastAsia" w:cs="宋体"/>
                <w:sz w:val="24"/>
                <w:szCs w:val="24"/>
              </w:rPr>
              <w:t>Ⅲ</w:t>
            </w:r>
            <w:r>
              <w:rPr>
                <w:rFonts w:hint="eastAsia"/>
                <w:sz w:val="24"/>
                <w:szCs w:val="24"/>
              </w:rPr>
              <w:t>类标准要求。</w:t>
            </w:r>
          </w:p>
          <w:p>
            <w:pPr>
              <w:pStyle w:val="17"/>
              <w:widowControl/>
              <w:adjustRightInd w:val="0"/>
              <w:snapToGrid w:val="0"/>
              <w:ind w:firstLine="480" w:firstLineChars="200"/>
              <w:rPr>
                <w:b/>
                <w:bCs/>
                <w:szCs w:val="24"/>
              </w:rPr>
            </w:pPr>
            <w:r>
              <w:rPr>
                <w:b/>
                <w:bCs/>
              </w:rPr>
              <w:t>3</w:t>
            </w:r>
            <w:r>
              <w:rPr>
                <w:rFonts w:hint="eastAsia"/>
                <w:b/>
                <w:bCs/>
              </w:rPr>
              <w:t>、声环境质量状况</w:t>
            </w:r>
          </w:p>
          <w:p>
            <w:pPr>
              <w:pStyle w:val="136"/>
              <w:ind w:firstLine="480"/>
              <w:rPr>
                <w:rFonts w:hint="eastAsia" w:eastAsia="宋体"/>
                <w:color w:val="000000"/>
              </w:rPr>
            </w:pPr>
            <w:r>
              <w:rPr>
                <w:szCs w:val="24"/>
              </w:rPr>
              <w:t>根据《2018沭阳环境质量报告书》中的监测数据，项目所在地声环境质量符合《声环境质量标准》(GB 3096-2008)中</w:t>
            </w:r>
            <w:r>
              <w:rPr>
                <w:rFonts w:hint="eastAsia"/>
                <w:szCs w:val="24"/>
              </w:rPr>
              <w:t>2</w:t>
            </w:r>
            <w:r>
              <w:rPr>
                <w:szCs w:val="24"/>
              </w:rPr>
              <w:t>类区标准要求。</w:t>
            </w:r>
          </w:p>
          <w:p>
            <w:pPr>
              <w:spacing w:line="360" w:lineRule="auto"/>
              <w:rPr>
                <w:b/>
                <w:bCs/>
                <w:sz w:val="24"/>
              </w:rPr>
            </w:pPr>
          </w:p>
          <w:p>
            <w:pPr>
              <w:spacing w:line="360" w:lineRule="auto"/>
              <w:rPr>
                <w:b/>
                <w:bCs/>
                <w:sz w:val="24"/>
              </w:rPr>
            </w:pPr>
          </w:p>
          <w:p>
            <w:pPr>
              <w:spacing w:line="360" w:lineRule="auto"/>
              <w:rPr>
                <w:b/>
                <w:bCs/>
                <w:sz w:val="24"/>
              </w:rPr>
            </w:pPr>
          </w:p>
          <w:p>
            <w:pPr>
              <w:spacing w:line="360" w:lineRule="auto"/>
              <w:rPr>
                <w:b/>
                <w:bCs/>
                <w:sz w:val="24"/>
              </w:rPr>
            </w:pPr>
          </w:p>
          <w:p>
            <w:pPr>
              <w:spacing w:line="360" w:lineRule="auto"/>
              <w:rPr>
                <w:b/>
                <w:bCs/>
                <w:sz w:val="24"/>
              </w:rPr>
            </w:pPr>
            <w:r>
              <w:rPr>
                <w:b/>
                <w:bCs/>
                <w:sz w:val="24"/>
              </w:rPr>
              <w:t>主要环境保护目标（列出名单及保护级别）：</w:t>
            </w:r>
          </w:p>
          <w:p>
            <w:pPr>
              <w:spacing w:line="360" w:lineRule="auto"/>
              <w:ind w:firstLine="480" w:firstLineChars="200"/>
              <w:rPr>
                <w:sz w:val="24"/>
              </w:rPr>
            </w:pPr>
            <w:r>
              <w:rPr>
                <w:sz w:val="24"/>
              </w:rPr>
              <w:t>根据</w:t>
            </w:r>
            <w:r>
              <w:rPr>
                <w:rFonts w:hint="eastAsia"/>
                <w:sz w:val="24"/>
              </w:rPr>
              <w:t>现场勘查，</w:t>
            </w:r>
            <w:r>
              <w:rPr>
                <w:sz w:val="24"/>
              </w:rPr>
              <w:t>确定</w:t>
            </w:r>
            <w:r>
              <w:rPr>
                <w:rFonts w:hint="eastAsia"/>
                <w:sz w:val="24"/>
              </w:rPr>
              <w:t>本</w:t>
            </w:r>
            <w:r>
              <w:rPr>
                <w:sz w:val="24"/>
              </w:rPr>
              <w:t>项目厂区</w:t>
            </w:r>
            <w:r>
              <w:rPr>
                <w:rFonts w:hint="eastAsia"/>
                <w:sz w:val="24"/>
              </w:rPr>
              <w:t>周围</w:t>
            </w:r>
            <w:r>
              <w:rPr>
                <w:sz w:val="24"/>
              </w:rPr>
              <w:t>环境保护目标见表3-</w:t>
            </w:r>
            <w:r>
              <w:rPr>
                <w:rFonts w:hint="eastAsia"/>
                <w:sz w:val="24"/>
              </w:rPr>
              <w:t>3</w:t>
            </w:r>
            <w:r>
              <w:rPr>
                <w:sz w:val="24"/>
              </w:rPr>
              <w:t>。</w:t>
            </w:r>
          </w:p>
          <w:p>
            <w:pPr>
              <w:jc w:val="center"/>
              <w:rPr>
                <w:b/>
                <w:sz w:val="24"/>
              </w:rPr>
            </w:pPr>
            <w:r>
              <w:rPr>
                <w:b/>
                <w:sz w:val="24"/>
              </w:rPr>
              <w:t>表3-</w:t>
            </w:r>
            <w:r>
              <w:rPr>
                <w:rFonts w:hint="eastAsia"/>
                <w:b/>
                <w:sz w:val="24"/>
              </w:rPr>
              <w:t xml:space="preserve">2  </w:t>
            </w:r>
            <w:r>
              <w:rPr>
                <w:b/>
                <w:sz w:val="24"/>
              </w:rPr>
              <w:t>建设项目环境保护目标</w:t>
            </w:r>
          </w:p>
          <w:tbl>
            <w:tblPr>
              <w:tblStyle w:val="3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17"/>
              <w:gridCol w:w="1720"/>
              <w:gridCol w:w="698"/>
              <w:gridCol w:w="813"/>
              <w:gridCol w:w="1188"/>
              <w:gridCol w:w="27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621" w:type="pct"/>
                  <w:tcBorders>
                    <w:top w:val="single" w:color="auto" w:sz="12" w:space="0"/>
                    <w:left w:val="nil"/>
                    <w:bottom w:val="single" w:color="auto" w:sz="4" w:space="0"/>
                    <w:right w:val="single" w:color="auto" w:sz="4" w:space="0"/>
                  </w:tcBorders>
                  <w:vAlign w:val="center"/>
                </w:tcPr>
                <w:p>
                  <w:pPr>
                    <w:adjustRightInd w:val="0"/>
                    <w:snapToGrid w:val="0"/>
                    <w:jc w:val="center"/>
                    <w:rPr>
                      <w:b/>
                      <w:bCs/>
                      <w:szCs w:val="21"/>
                    </w:rPr>
                  </w:pPr>
                  <w:r>
                    <w:rPr>
                      <w:rFonts w:hint="eastAsia"/>
                      <w:b/>
                      <w:bCs/>
                      <w:szCs w:val="21"/>
                    </w:rPr>
                    <w:t>环境要素</w:t>
                  </w:r>
                </w:p>
              </w:tc>
              <w:tc>
                <w:tcPr>
                  <w:tcW w:w="1050" w:type="pct"/>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bCs/>
                      <w:szCs w:val="21"/>
                    </w:rPr>
                  </w:pPr>
                  <w:r>
                    <w:rPr>
                      <w:rFonts w:hint="eastAsia"/>
                      <w:b/>
                      <w:bCs/>
                      <w:szCs w:val="21"/>
                    </w:rPr>
                    <w:t>环境保护对象名称</w:t>
                  </w:r>
                </w:p>
              </w:tc>
              <w:tc>
                <w:tcPr>
                  <w:tcW w:w="426" w:type="pct"/>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bCs/>
                      <w:szCs w:val="21"/>
                    </w:rPr>
                  </w:pPr>
                  <w:r>
                    <w:rPr>
                      <w:rFonts w:hint="eastAsia"/>
                      <w:b/>
                      <w:bCs/>
                      <w:szCs w:val="21"/>
                    </w:rPr>
                    <w:t>方位</w:t>
                  </w:r>
                </w:p>
              </w:tc>
              <w:tc>
                <w:tcPr>
                  <w:tcW w:w="496" w:type="pct"/>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bCs/>
                      <w:szCs w:val="21"/>
                    </w:rPr>
                  </w:pPr>
                  <w:r>
                    <w:rPr>
                      <w:rFonts w:hint="eastAsia"/>
                      <w:b/>
                      <w:bCs/>
                      <w:szCs w:val="21"/>
                    </w:rPr>
                    <w:t>距离（</w:t>
                  </w:r>
                  <w:r>
                    <w:rPr>
                      <w:b/>
                      <w:bCs/>
                      <w:szCs w:val="21"/>
                    </w:rPr>
                    <w:t>m</w:t>
                  </w:r>
                  <w:r>
                    <w:rPr>
                      <w:rFonts w:hint="eastAsia"/>
                      <w:b/>
                      <w:bCs/>
                      <w:szCs w:val="21"/>
                    </w:rPr>
                    <w:t>）</w:t>
                  </w:r>
                </w:p>
              </w:tc>
              <w:tc>
                <w:tcPr>
                  <w:tcW w:w="725" w:type="pct"/>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bCs/>
                      <w:szCs w:val="21"/>
                    </w:rPr>
                  </w:pPr>
                  <w:r>
                    <w:rPr>
                      <w:rFonts w:hint="eastAsia"/>
                      <w:b/>
                      <w:bCs/>
                      <w:szCs w:val="21"/>
                    </w:rPr>
                    <w:t>规模</w:t>
                  </w:r>
                </w:p>
              </w:tc>
              <w:tc>
                <w:tcPr>
                  <w:tcW w:w="1681" w:type="pct"/>
                  <w:tcBorders>
                    <w:top w:val="single" w:color="auto" w:sz="12" w:space="0"/>
                    <w:left w:val="single" w:color="auto" w:sz="4" w:space="0"/>
                    <w:bottom w:val="single" w:color="auto" w:sz="4" w:space="0"/>
                    <w:right w:val="nil"/>
                  </w:tcBorders>
                  <w:vAlign w:val="center"/>
                </w:tcPr>
                <w:p>
                  <w:pPr>
                    <w:adjustRightInd w:val="0"/>
                    <w:snapToGrid w:val="0"/>
                    <w:jc w:val="center"/>
                    <w:rPr>
                      <w:b/>
                      <w:bCs/>
                      <w:szCs w:val="21"/>
                    </w:rPr>
                  </w:pPr>
                  <w:r>
                    <w:rPr>
                      <w:rFonts w:hint="eastAsia"/>
                      <w:b/>
                      <w:bCs/>
                      <w:szCs w:val="21"/>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621" w:type="pct"/>
                  <w:vMerge w:val="restart"/>
                  <w:tcBorders>
                    <w:top w:val="single" w:color="auto" w:sz="4" w:space="0"/>
                    <w:left w:val="nil"/>
                    <w:right w:val="single" w:color="auto" w:sz="4" w:space="0"/>
                  </w:tcBorders>
                  <w:vAlign w:val="center"/>
                </w:tcPr>
                <w:p>
                  <w:pPr>
                    <w:pStyle w:val="114"/>
                    <w:ind w:left="0" w:leftChars="0" w:right="0" w:rightChars="0" w:firstLine="0"/>
                    <w:jc w:val="center"/>
                    <w:rPr>
                      <w:szCs w:val="21"/>
                    </w:rPr>
                  </w:pPr>
                  <w:r>
                    <w:rPr>
                      <w:rFonts w:hint="eastAsia"/>
                      <w:szCs w:val="21"/>
                    </w:rPr>
                    <w:t>大气环境</w:t>
                  </w:r>
                </w:p>
              </w:tc>
              <w:tc>
                <w:tcPr>
                  <w:tcW w:w="105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沈庄村（118.845991，34.209591）</w:t>
                  </w:r>
                </w:p>
              </w:tc>
              <w:tc>
                <w:tcPr>
                  <w:tcW w:w="42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N</w:t>
                  </w:r>
                </w:p>
              </w:tc>
              <w:tc>
                <w:tcPr>
                  <w:tcW w:w="4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70</w:t>
                  </w:r>
                </w:p>
              </w:tc>
              <w:tc>
                <w:tcPr>
                  <w:tcW w:w="7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30户/90人</w:t>
                  </w:r>
                </w:p>
              </w:tc>
              <w:tc>
                <w:tcPr>
                  <w:tcW w:w="1681" w:type="pct"/>
                  <w:vMerge w:val="restart"/>
                  <w:tcBorders>
                    <w:top w:val="single" w:color="auto" w:sz="4" w:space="0"/>
                    <w:left w:val="single" w:color="auto" w:sz="4" w:space="0"/>
                    <w:right w:val="nil"/>
                  </w:tcBorders>
                  <w:vAlign w:val="center"/>
                </w:tcPr>
                <w:p>
                  <w:pPr>
                    <w:pStyle w:val="114"/>
                    <w:ind w:left="0" w:leftChars="0" w:right="0" w:rightChars="0" w:firstLine="0"/>
                    <w:jc w:val="center"/>
                    <w:rPr>
                      <w:szCs w:val="21"/>
                    </w:rPr>
                  </w:pPr>
                  <w:r>
                    <w:rPr>
                      <w:rFonts w:hint="eastAsia"/>
                      <w:szCs w:val="21"/>
                    </w:rPr>
                    <w:t>《环境空气质量标准》（</w:t>
                  </w:r>
                  <w:r>
                    <w:rPr>
                      <w:rFonts w:ascii="Times New Roman" w:hAnsi="Times New Roman"/>
                      <w:szCs w:val="21"/>
                    </w:rPr>
                    <w:t>GB3095-2012</w:t>
                  </w:r>
                  <w:r>
                    <w:rPr>
                      <w:rFonts w:hint="eastAsia"/>
                      <w:szCs w:val="21"/>
                    </w:rPr>
                    <w:t>）中的二级标准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621" w:type="pct"/>
                  <w:vMerge w:val="continue"/>
                  <w:tcBorders>
                    <w:left w:val="nil"/>
                    <w:right w:val="single" w:color="auto" w:sz="4" w:space="0"/>
                  </w:tcBorders>
                  <w:vAlign w:val="center"/>
                </w:tcPr>
                <w:p>
                  <w:pPr>
                    <w:adjustRightInd w:val="0"/>
                    <w:snapToGrid w:val="0"/>
                    <w:jc w:val="center"/>
                    <w:rPr>
                      <w:szCs w:val="21"/>
                    </w:rPr>
                  </w:pPr>
                </w:p>
              </w:tc>
              <w:tc>
                <w:tcPr>
                  <w:tcW w:w="105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朱庄村（118.847678，34.208200）</w:t>
                  </w:r>
                </w:p>
              </w:tc>
              <w:tc>
                <w:tcPr>
                  <w:tcW w:w="42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SE</w:t>
                  </w:r>
                </w:p>
              </w:tc>
              <w:tc>
                <w:tcPr>
                  <w:tcW w:w="4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155</w:t>
                  </w:r>
                </w:p>
              </w:tc>
              <w:tc>
                <w:tcPr>
                  <w:tcW w:w="7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40户/120人</w:t>
                  </w:r>
                </w:p>
              </w:tc>
              <w:tc>
                <w:tcPr>
                  <w:tcW w:w="0" w:type="auto"/>
                  <w:vMerge w:val="continue"/>
                  <w:tcBorders>
                    <w:left w:val="single" w:color="auto" w:sz="4" w:space="0"/>
                    <w:right w:val="nil"/>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621" w:type="pct"/>
                  <w:tcBorders>
                    <w:top w:val="single" w:color="auto" w:sz="4" w:space="0"/>
                    <w:left w:val="nil"/>
                    <w:right w:val="single" w:color="auto" w:sz="4" w:space="0"/>
                  </w:tcBorders>
                  <w:vAlign w:val="center"/>
                </w:tcPr>
                <w:p>
                  <w:pPr>
                    <w:pStyle w:val="114"/>
                    <w:ind w:left="0" w:leftChars="0" w:right="0" w:rightChars="0" w:firstLine="0"/>
                    <w:jc w:val="center"/>
                    <w:rPr>
                      <w:szCs w:val="21"/>
                    </w:rPr>
                  </w:pPr>
                  <w:r>
                    <w:rPr>
                      <w:rFonts w:hint="eastAsia"/>
                      <w:szCs w:val="21"/>
                    </w:rPr>
                    <w:t>水环境</w:t>
                  </w:r>
                </w:p>
              </w:tc>
              <w:tc>
                <w:tcPr>
                  <w:tcW w:w="105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szCs w:val="21"/>
                      <w:lang w:eastAsia="zh-CN"/>
                    </w:rPr>
                    <w:t>后沭</w:t>
                  </w:r>
                  <w:r>
                    <w:rPr>
                      <w:rFonts w:hint="eastAsia"/>
                      <w:szCs w:val="21"/>
                    </w:rPr>
                    <w:t>河</w:t>
                  </w:r>
                </w:p>
              </w:tc>
              <w:tc>
                <w:tcPr>
                  <w:tcW w:w="42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宋体"/>
                      <w:lang w:val="en-US" w:eastAsia="zh-CN"/>
                    </w:rPr>
                  </w:pPr>
                  <w:r>
                    <w:rPr>
                      <w:rFonts w:hint="eastAsia"/>
                      <w:lang w:val="en-US" w:eastAsia="zh-CN"/>
                    </w:rPr>
                    <w:t>W</w:t>
                  </w:r>
                </w:p>
              </w:tc>
              <w:tc>
                <w:tcPr>
                  <w:tcW w:w="496"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jc w:val="center"/>
                    <w:rPr>
                      <w:rFonts w:hint="default" w:eastAsia="宋体"/>
                      <w:lang w:val="en-US" w:eastAsia="zh-CN"/>
                    </w:rPr>
                  </w:pPr>
                  <w:r>
                    <w:rPr>
                      <w:rFonts w:hint="eastAsia"/>
                      <w:lang w:val="en-US" w:eastAsia="zh-CN"/>
                    </w:rPr>
                    <w:t>427</w:t>
                  </w:r>
                </w:p>
              </w:tc>
              <w:tc>
                <w:tcPr>
                  <w:tcW w:w="7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小型</w:t>
                  </w:r>
                </w:p>
              </w:tc>
              <w:tc>
                <w:tcPr>
                  <w:tcW w:w="1681" w:type="pct"/>
                  <w:tcBorders>
                    <w:top w:val="single" w:color="auto" w:sz="4" w:space="0"/>
                    <w:left w:val="single" w:color="auto" w:sz="4" w:space="0"/>
                    <w:right w:val="nil"/>
                  </w:tcBorders>
                  <w:vAlign w:val="center"/>
                </w:tcPr>
                <w:p>
                  <w:pPr>
                    <w:pStyle w:val="114"/>
                    <w:ind w:left="0" w:leftChars="0" w:right="0" w:rightChars="0" w:firstLine="0"/>
                    <w:jc w:val="center"/>
                    <w:rPr>
                      <w:szCs w:val="21"/>
                    </w:rPr>
                  </w:pPr>
                  <w:r>
                    <w:rPr>
                      <w:rFonts w:hint="eastAsia"/>
                      <w:szCs w:val="21"/>
                    </w:rPr>
                    <w:t>《地表水环境质量标准》（</w:t>
                  </w:r>
                  <w:r>
                    <w:rPr>
                      <w:rFonts w:ascii="Times New Roman" w:hAnsi="Times New Roman"/>
                      <w:szCs w:val="21"/>
                    </w:rPr>
                    <w:t>GB3838-2002</w:t>
                  </w:r>
                  <w:r>
                    <w:rPr>
                      <w:rFonts w:hint="eastAsia"/>
                      <w:szCs w:val="21"/>
                    </w:rPr>
                    <w:t>）</w:t>
                  </w:r>
                  <w:r>
                    <w:rPr>
                      <w:rFonts w:hint="eastAsia" w:cs="宋体"/>
                      <w:szCs w:val="21"/>
                    </w:rPr>
                    <w:t>Ⅲ</w:t>
                  </w:r>
                  <w:r>
                    <w:rPr>
                      <w:rFonts w:hint="eastAsia"/>
                      <w:szCs w:val="21"/>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621" w:type="pct"/>
                  <w:vMerge w:val="restart"/>
                  <w:tcBorders>
                    <w:top w:val="single" w:color="auto" w:sz="4" w:space="0"/>
                    <w:left w:val="nil"/>
                    <w:bottom w:val="single" w:color="auto" w:sz="12" w:space="0"/>
                    <w:right w:val="single" w:color="auto" w:sz="4" w:space="0"/>
                  </w:tcBorders>
                  <w:vAlign w:val="center"/>
                </w:tcPr>
                <w:p>
                  <w:pPr>
                    <w:pStyle w:val="114"/>
                    <w:ind w:left="0" w:leftChars="0" w:right="0" w:rightChars="0" w:firstLine="0"/>
                    <w:jc w:val="center"/>
                    <w:rPr>
                      <w:szCs w:val="21"/>
                    </w:rPr>
                  </w:pPr>
                  <w:r>
                    <w:rPr>
                      <w:rFonts w:hint="eastAsia"/>
                      <w:szCs w:val="21"/>
                    </w:rPr>
                    <w:t>声环境</w:t>
                  </w:r>
                </w:p>
              </w:tc>
              <w:tc>
                <w:tcPr>
                  <w:tcW w:w="105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沈庄村（118.845991，34.209591）</w:t>
                  </w:r>
                </w:p>
              </w:tc>
              <w:tc>
                <w:tcPr>
                  <w:tcW w:w="42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N</w:t>
                  </w:r>
                </w:p>
              </w:tc>
              <w:tc>
                <w:tcPr>
                  <w:tcW w:w="496"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jc w:val="center"/>
                  </w:pPr>
                  <w:r>
                    <w:rPr>
                      <w:rFonts w:hint="eastAsia"/>
                    </w:rPr>
                    <w:t>70</w:t>
                  </w:r>
                </w:p>
              </w:tc>
              <w:tc>
                <w:tcPr>
                  <w:tcW w:w="7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30户/90人</w:t>
                  </w:r>
                </w:p>
              </w:tc>
              <w:tc>
                <w:tcPr>
                  <w:tcW w:w="1681" w:type="pct"/>
                  <w:vMerge w:val="restart"/>
                  <w:tcBorders>
                    <w:top w:val="single" w:color="auto" w:sz="4" w:space="0"/>
                    <w:left w:val="single" w:color="auto" w:sz="4" w:space="0"/>
                    <w:bottom w:val="single" w:color="auto" w:sz="12" w:space="0"/>
                    <w:right w:val="nil"/>
                  </w:tcBorders>
                  <w:vAlign w:val="center"/>
                </w:tcPr>
                <w:p>
                  <w:pPr>
                    <w:pStyle w:val="114"/>
                    <w:ind w:left="0" w:leftChars="0" w:right="0" w:rightChars="0" w:firstLine="0"/>
                    <w:jc w:val="center"/>
                    <w:rPr>
                      <w:szCs w:val="21"/>
                    </w:rPr>
                  </w:pPr>
                  <w:r>
                    <w:rPr>
                      <w:rFonts w:hint="eastAsia"/>
                      <w:szCs w:val="21"/>
                    </w:rPr>
                    <w:t>《声环境质量标准》</w:t>
                  </w:r>
                  <w:r>
                    <w:rPr>
                      <w:szCs w:val="21"/>
                    </w:rPr>
                    <w:t>(</w:t>
                  </w:r>
                  <w:r>
                    <w:rPr>
                      <w:rFonts w:ascii="Times New Roman" w:hAnsi="Times New Roman"/>
                      <w:szCs w:val="21"/>
                    </w:rPr>
                    <w:t>GB3096-2008</w:t>
                  </w:r>
                  <w:r>
                    <w:rPr>
                      <w:szCs w:val="21"/>
                    </w:rPr>
                    <w:t>)</w:t>
                  </w:r>
                  <w:r>
                    <w:rPr>
                      <w:rFonts w:hint="eastAsia"/>
                      <w:szCs w:val="21"/>
                    </w:rPr>
                    <w:t>中的</w:t>
                  </w:r>
                  <w:r>
                    <w:rPr>
                      <w:rFonts w:ascii="Times New Roman" w:hAnsi="Times New Roman"/>
                      <w:szCs w:val="21"/>
                    </w:rPr>
                    <w:t>2</w:t>
                  </w:r>
                  <w:r>
                    <w:rPr>
                      <w:rFonts w:hint="eastAsia"/>
                      <w:szCs w:val="21"/>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621" w:type="pct"/>
                  <w:vMerge w:val="continue"/>
                  <w:tcBorders>
                    <w:top w:val="single" w:color="auto" w:sz="4" w:space="0"/>
                    <w:left w:val="nil"/>
                    <w:bottom w:val="single" w:color="auto" w:sz="12" w:space="0"/>
                    <w:right w:val="single" w:color="auto" w:sz="4" w:space="0"/>
                  </w:tcBorders>
                  <w:vAlign w:val="center"/>
                </w:tcPr>
                <w:p>
                  <w:pPr>
                    <w:adjustRightInd w:val="0"/>
                    <w:snapToGrid w:val="0"/>
                    <w:jc w:val="center"/>
                    <w:rPr>
                      <w:szCs w:val="21"/>
                    </w:rPr>
                  </w:pPr>
                </w:p>
              </w:tc>
              <w:tc>
                <w:tcPr>
                  <w:tcW w:w="1050" w:type="pct"/>
                  <w:tcBorders>
                    <w:top w:val="single" w:color="auto" w:sz="4" w:space="0"/>
                    <w:left w:val="single" w:color="auto" w:sz="4" w:space="0"/>
                    <w:bottom w:val="single" w:color="auto" w:sz="12" w:space="0"/>
                    <w:right w:val="single" w:color="auto" w:sz="4" w:space="0"/>
                  </w:tcBorders>
                  <w:vAlign w:val="center"/>
                </w:tcPr>
                <w:p>
                  <w:pPr>
                    <w:adjustRightInd w:val="0"/>
                    <w:snapToGrid w:val="0"/>
                    <w:jc w:val="center"/>
                  </w:pPr>
                  <w:r>
                    <w:rPr>
                      <w:rFonts w:hint="eastAsia"/>
                    </w:rPr>
                    <w:t>朱庄村（118.847678，34.208200）</w:t>
                  </w:r>
                </w:p>
              </w:tc>
              <w:tc>
                <w:tcPr>
                  <w:tcW w:w="426" w:type="pct"/>
                  <w:tcBorders>
                    <w:top w:val="single" w:color="auto" w:sz="4" w:space="0"/>
                    <w:left w:val="single" w:color="auto" w:sz="4" w:space="0"/>
                    <w:bottom w:val="single" w:color="auto" w:sz="12" w:space="0"/>
                    <w:right w:val="single" w:color="auto" w:sz="4" w:space="0"/>
                  </w:tcBorders>
                  <w:vAlign w:val="center"/>
                </w:tcPr>
                <w:p>
                  <w:pPr>
                    <w:adjustRightInd w:val="0"/>
                    <w:snapToGrid w:val="0"/>
                    <w:jc w:val="center"/>
                  </w:pPr>
                  <w:r>
                    <w:rPr>
                      <w:rFonts w:hint="eastAsia"/>
                    </w:rPr>
                    <w:t>SE</w:t>
                  </w:r>
                </w:p>
              </w:tc>
              <w:tc>
                <w:tcPr>
                  <w:tcW w:w="496" w:type="pct"/>
                  <w:tcBorders>
                    <w:top w:val="single" w:color="auto" w:sz="4" w:space="0"/>
                    <w:left w:val="single" w:color="auto" w:sz="4" w:space="0"/>
                    <w:bottom w:val="single" w:color="auto" w:sz="12" w:space="0"/>
                    <w:right w:val="single" w:color="auto" w:sz="4" w:space="0"/>
                  </w:tcBorders>
                  <w:tcMar>
                    <w:top w:w="0" w:type="dxa"/>
                    <w:left w:w="0" w:type="dxa"/>
                    <w:bottom w:w="0" w:type="dxa"/>
                    <w:right w:w="0" w:type="dxa"/>
                  </w:tcMar>
                  <w:vAlign w:val="center"/>
                </w:tcPr>
                <w:p>
                  <w:pPr>
                    <w:adjustRightInd w:val="0"/>
                    <w:snapToGrid w:val="0"/>
                    <w:jc w:val="center"/>
                  </w:pPr>
                  <w:r>
                    <w:rPr>
                      <w:rFonts w:hint="eastAsia"/>
                    </w:rPr>
                    <w:t>155</w:t>
                  </w:r>
                </w:p>
              </w:tc>
              <w:tc>
                <w:tcPr>
                  <w:tcW w:w="725" w:type="pct"/>
                  <w:tcBorders>
                    <w:top w:val="single" w:color="auto" w:sz="4" w:space="0"/>
                    <w:left w:val="single" w:color="auto" w:sz="4" w:space="0"/>
                    <w:bottom w:val="single" w:color="auto" w:sz="12" w:space="0"/>
                    <w:right w:val="single" w:color="auto" w:sz="4" w:space="0"/>
                  </w:tcBorders>
                  <w:vAlign w:val="center"/>
                </w:tcPr>
                <w:p>
                  <w:pPr>
                    <w:adjustRightInd w:val="0"/>
                    <w:snapToGrid w:val="0"/>
                    <w:jc w:val="center"/>
                  </w:pPr>
                  <w:r>
                    <w:rPr>
                      <w:rFonts w:hint="eastAsia"/>
                    </w:rPr>
                    <w:t>40户/120人</w:t>
                  </w:r>
                </w:p>
              </w:tc>
              <w:tc>
                <w:tcPr>
                  <w:tcW w:w="0" w:type="auto"/>
                  <w:vMerge w:val="continue"/>
                  <w:tcBorders>
                    <w:top w:val="single" w:color="auto" w:sz="4" w:space="0"/>
                    <w:left w:val="single" w:color="auto" w:sz="4" w:space="0"/>
                    <w:bottom w:val="single" w:color="auto" w:sz="12" w:space="0"/>
                    <w:right w:val="nil"/>
                  </w:tcBorders>
                  <w:vAlign w:val="center"/>
                </w:tcPr>
                <w:p>
                  <w:pPr>
                    <w:adjustRightInd w:val="0"/>
                    <w:snapToGrid w:val="0"/>
                    <w:jc w:val="center"/>
                    <w:rPr>
                      <w:szCs w:val="21"/>
                    </w:rPr>
                  </w:pPr>
                </w:p>
              </w:tc>
            </w:tr>
          </w:tbl>
          <w:p>
            <w:pPr>
              <w:pStyle w:val="11"/>
              <w:spacing w:line="360" w:lineRule="auto"/>
              <w:ind w:firstLine="0" w:firstLineChars="0"/>
              <w:rPr>
                <w:sz w:val="24"/>
              </w:rPr>
            </w:pPr>
          </w:p>
        </w:tc>
      </w:tr>
    </w:tbl>
    <w:p>
      <w:pPr>
        <w:pStyle w:val="3"/>
        <w:rPr>
          <w:rFonts w:eastAsia="宋体"/>
        </w:rPr>
      </w:pPr>
      <w:r>
        <w:rPr>
          <w:rFonts w:hint="eastAsia" w:eastAsia="宋体"/>
        </w:rPr>
        <w:t>四、</w:t>
      </w:r>
      <w:r>
        <w:rPr>
          <w:rFonts w:eastAsia="宋体"/>
        </w:rPr>
        <w:t>评价适用标准</w:t>
      </w:r>
    </w:p>
    <w:tbl>
      <w:tblPr>
        <w:tblStyle w:val="3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8" w:hRule="atLeast"/>
        </w:trPr>
        <w:tc>
          <w:tcPr>
            <w:tcW w:w="456" w:type="dxa"/>
            <w:vAlign w:val="center"/>
          </w:tcPr>
          <w:p>
            <w:pPr>
              <w:rPr>
                <w:sz w:val="24"/>
              </w:rPr>
            </w:pPr>
            <w:r>
              <w:rPr>
                <w:sz w:val="24"/>
              </w:rPr>
              <w:t>环</w:t>
            </w:r>
          </w:p>
          <w:p>
            <w:pPr>
              <w:jc w:val="center"/>
              <w:rPr>
                <w:sz w:val="24"/>
              </w:rPr>
            </w:pPr>
            <w:r>
              <w:rPr>
                <w:sz w:val="24"/>
              </w:rPr>
              <w:t>境</w:t>
            </w:r>
          </w:p>
          <w:p>
            <w:pPr>
              <w:jc w:val="center"/>
              <w:rPr>
                <w:sz w:val="24"/>
              </w:rPr>
            </w:pPr>
            <w:r>
              <w:rPr>
                <w:sz w:val="24"/>
              </w:rPr>
              <w:t>质</w:t>
            </w:r>
          </w:p>
          <w:p>
            <w:pPr>
              <w:jc w:val="center"/>
              <w:rPr>
                <w:sz w:val="24"/>
              </w:rPr>
            </w:pPr>
            <w:r>
              <w:rPr>
                <w:sz w:val="24"/>
              </w:rPr>
              <w:t>量</w:t>
            </w:r>
          </w:p>
          <w:p>
            <w:pPr>
              <w:jc w:val="center"/>
              <w:rPr>
                <w:sz w:val="24"/>
              </w:rPr>
            </w:pPr>
            <w:r>
              <w:rPr>
                <w:sz w:val="24"/>
              </w:rPr>
              <w:t>标</w:t>
            </w:r>
          </w:p>
          <w:p>
            <w:pPr>
              <w:jc w:val="center"/>
              <w:rPr>
                <w:sz w:val="24"/>
              </w:rPr>
            </w:pPr>
            <w:r>
              <w:rPr>
                <w:sz w:val="24"/>
              </w:rPr>
              <w:t>准</w:t>
            </w:r>
          </w:p>
        </w:tc>
        <w:tc>
          <w:tcPr>
            <w:tcW w:w="7923" w:type="dxa"/>
          </w:tcPr>
          <w:p>
            <w:pPr>
              <w:pStyle w:val="11"/>
              <w:spacing w:line="360" w:lineRule="auto"/>
              <w:ind w:firstLine="480"/>
              <w:rPr>
                <w:sz w:val="24"/>
              </w:rPr>
            </w:pPr>
            <w:r>
              <w:rPr>
                <w:sz w:val="24"/>
              </w:rPr>
              <w:t>1、大气环境质量标准</w:t>
            </w:r>
          </w:p>
          <w:p>
            <w:pPr>
              <w:spacing w:line="360" w:lineRule="auto"/>
              <w:ind w:firstLine="480" w:firstLineChars="200"/>
              <w:rPr>
                <w:sz w:val="24"/>
                <w:szCs w:val="24"/>
              </w:rPr>
            </w:pPr>
            <w:r>
              <w:rPr>
                <w:rFonts w:hint="eastAsia" w:cs="宋体"/>
                <w:sz w:val="24"/>
                <w:szCs w:val="24"/>
              </w:rPr>
              <w:t>项目所在区域环境空气质量功能区划为二类区，执行《环境空气质量标准》</w:t>
            </w:r>
            <w:r>
              <w:rPr>
                <w:sz w:val="24"/>
                <w:szCs w:val="24"/>
              </w:rPr>
              <w:t>(GB3095-2012)</w:t>
            </w:r>
            <w:r>
              <w:rPr>
                <w:rFonts w:hint="eastAsia" w:cs="宋体"/>
                <w:sz w:val="24"/>
                <w:szCs w:val="24"/>
              </w:rPr>
              <w:t>二级标准。具体数值见表</w:t>
            </w:r>
            <w:r>
              <w:rPr>
                <w:sz w:val="24"/>
                <w:szCs w:val="24"/>
              </w:rPr>
              <w:t>4-1</w:t>
            </w:r>
            <w:r>
              <w:rPr>
                <w:rFonts w:hint="eastAsia" w:cs="宋体"/>
                <w:sz w:val="24"/>
                <w:szCs w:val="24"/>
              </w:rPr>
              <w:t>。</w:t>
            </w:r>
          </w:p>
          <w:p>
            <w:pPr>
              <w:jc w:val="center"/>
              <w:rPr>
                <w:rFonts w:cs="宋体"/>
                <w:b/>
                <w:bCs/>
                <w:sz w:val="24"/>
                <w:szCs w:val="24"/>
              </w:rPr>
            </w:pPr>
            <w:r>
              <w:rPr>
                <w:rFonts w:hint="eastAsia" w:cs="宋体"/>
                <w:b/>
                <w:bCs/>
                <w:sz w:val="24"/>
                <w:szCs w:val="24"/>
              </w:rPr>
              <w:t>表</w:t>
            </w:r>
            <w:r>
              <w:rPr>
                <w:b/>
                <w:bCs/>
                <w:sz w:val="24"/>
                <w:szCs w:val="24"/>
              </w:rPr>
              <w:t>4-</w:t>
            </w:r>
            <w:r>
              <w:rPr>
                <w:rFonts w:hint="eastAsia"/>
                <w:b/>
                <w:bCs/>
                <w:sz w:val="24"/>
                <w:szCs w:val="24"/>
              </w:rPr>
              <w:t xml:space="preserve">1  </w:t>
            </w:r>
            <w:r>
              <w:rPr>
                <w:rFonts w:hint="eastAsia" w:cs="宋体"/>
                <w:b/>
                <w:bCs/>
                <w:sz w:val="24"/>
                <w:szCs w:val="24"/>
              </w:rPr>
              <w:t>《环境空气质量标准》</w:t>
            </w:r>
            <w:r>
              <w:rPr>
                <w:b/>
                <w:bCs/>
                <w:sz w:val="24"/>
                <w:szCs w:val="24"/>
              </w:rPr>
              <w:t>(GB3095-2012)</w:t>
            </w:r>
            <w:r>
              <w:rPr>
                <w:rFonts w:hint="eastAsia" w:cs="宋体"/>
                <w:b/>
                <w:bCs/>
                <w:sz w:val="24"/>
                <w:szCs w:val="24"/>
              </w:rPr>
              <w:t>二级标准</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11"/>
              <w:gridCol w:w="1922"/>
              <w:gridCol w:w="1788"/>
              <w:gridCol w:w="29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56" w:type="pct"/>
                  <w:vAlign w:val="center"/>
                </w:tcPr>
                <w:p>
                  <w:pPr>
                    <w:pStyle w:val="55"/>
                    <w:rPr>
                      <w:b/>
                      <w:color w:val="auto"/>
                      <w:kern w:val="2"/>
                    </w:rPr>
                  </w:pPr>
                  <w:r>
                    <w:rPr>
                      <w:rFonts w:hint="eastAsia"/>
                      <w:b/>
                      <w:color w:val="auto"/>
                      <w:kern w:val="2"/>
                    </w:rPr>
                    <w:t>污染物</w:t>
                  </w:r>
                </w:p>
              </w:tc>
              <w:tc>
                <w:tcPr>
                  <w:tcW w:w="1247" w:type="pct"/>
                  <w:vAlign w:val="center"/>
                </w:tcPr>
                <w:p>
                  <w:pPr>
                    <w:pStyle w:val="55"/>
                    <w:rPr>
                      <w:b/>
                      <w:color w:val="auto"/>
                      <w:kern w:val="2"/>
                    </w:rPr>
                  </w:pPr>
                  <w:r>
                    <w:rPr>
                      <w:rFonts w:hint="eastAsia"/>
                      <w:b/>
                      <w:color w:val="auto"/>
                      <w:kern w:val="2"/>
                    </w:rPr>
                    <w:t>取值时间</w:t>
                  </w:r>
                </w:p>
              </w:tc>
              <w:tc>
                <w:tcPr>
                  <w:tcW w:w="1160" w:type="pct"/>
                  <w:vAlign w:val="center"/>
                </w:tcPr>
                <w:p>
                  <w:pPr>
                    <w:pStyle w:val="55"/>
                    <w:rPr>
                      <w:b/>
                      <w:color w:val="auto"/>
                      <w:kern w:val="2"/>
                    </w:rPr>
                  </w:pPr>
                  <w:r>
                    <w:rPr>
                      <w:rFonts w:hint="eastAsia"/>
                      <w:b/>
                      <w:color w:val="auto"/>
                      <w:kern w:val="2"/>
                    </w:rPr>
                    <w:t>标准限值（u</w:t>
                  </w:r>
                  <w:r>
                    <w:rPr>
                      <w:b/>
                      <w:color w:val="auto"/>
                      <w:kern w:val="2"/>
                    </w:rPr>
                    <w:t>g/m</w:t>
                  </w:r>
                  <w:r>
                    <w:rPr>
                      <w:b/>
                      <w:color w:val="auto"/>
                      <w:kern w:val="2"/>
                      <w:vertAlign w:val="superscript"/>
                    </w:rPr>
                    <w:t>3</w:t>
                  </w:r>
                  <w:r>
                    <w:rPr>
                      <w:rFonts w:hint="eastAsia"/>
                      <w:b/>
                      <w:color w:val="auto"/>
                      <w:kern w:val="2"/>
                    </w:rPr>
                    <w:t>）</w:t>
                  </w:r>
                </w:p>
              </w:tc>
              <w:tc>
                <w:tcPr>
                  <w:tcW w:w="1937" w:type="pct"/>
                  <w:vAlign w:val="center"/>
                </w:tcPr>
                <w:p>
                  <w:pPr>
                    <w:pStyle w:val="55"/>
                    <w:rPr>
                      <w:b/>
                      <w:color w:val="auto"/>
                      <w:kern w:val="2"/>
                    </w:rPr>
                  </w:pPr>
                  <w:r>
                    <w:rPr>
                      <w:rFonts w:hint="eastAsia"/>
                      <w:b/>
                      <w:color w:val="auto"/>
                      <w:kern w:val="2"/>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56" w:type="pct"/>
                  <w:vMerge w:val="restart"/>
                  <w:vAlign w:val="center"/>
                </w:tcPr>
                <w:p>
                  <w:pPr>
                    <w:adjustRightInd w:val="0"/>
                    <w:snapToGrid w:val="0"/>
                    <w:jc w:val="center"/>
                  </w:pPr>
                  <w:r>
                    <w:t>SO</w:t>
                  </w:r>
                  <w:r>
                    <w:rPr>
                      <w:vertAlign w:val="subscript"/>
                    </w:rPr>
                    <w:t>2</w:t>
                  </w:r>
                </w:p>
              </w:tc>
              <w:tc>
                <w:tcPr>
                  <w:tcW w:w="1247" w:type="pct"/>
                  <w:vAlign w:val="center"/>
                </w:tcPr>
                <w:p>
                  <w:pPr>
                    <w:adjustRightInd w:val="0"/>
                    <w:snapToGrid w:val="0"/>
                    <w:jc w:val="center"/>
                  </w:pPr>
                  <w:r>
                    <w:rPr>
                      <w:rFonts w:hint="eastAsia"/>
                    </w:rPr>
                    <w:t>年平均</w:t>
                  </w:r>
                </w:p>
              </w:tc>
              <w:tc>
                <w:tcPr>
                  <w:tcW w:w="1160" w:type="pct"/>
                  <w:vAlign w:val="center"/>
                </w:tcPr>
                <w:p>
                  <w:pPr>
                    <w:adjustRightInd w:val="0"/>
                    <w:snapToGrid w:val="0"/>
                    <w:jc w:val="center"/>
                  </w:pPr>
                  <w:r>
                    <w:t>60</w:t>
                  </w:r>
                </w:p>
              </w:tc>
              <w:tc>
                <w:tcPr>
                  <w:tcW w:w="1937" w:type="pct"/>
                  <w:vMerge w:val="restart"/>
                  <w:vAlign w:val="center"/>
                </w:tcPr>
                <w:p>
                  <w:pPr>
                    <w:adjustRightInd w:val="0"/>
                    <w:snapToGrid w:val="0"/>
                    <w:jc w:val="center"/>
                  </w:pPr>
                  <w:r>
                    <w:rPr>
                      <w:rFonts w:hint="eastAsia"/>
                    </w:rPr>
                    <w:t>《环境空气质量标准》（</w:t>
                  </w:r>
                  <w:r>
                    <w:t>GB3095-2012</w:t>
                  </w:r>
                  <w:r>
                    <w:rPr>
                      <w:rFonts w:hint="eastAsia"/>
                    </w:rPr>
                    <w:t>）中二级标准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56" w:type="pct"/>
                  <w:vMerge w:val="continue"/>
                  <w:vAlign w:val="center"/>
                </w:tcPr>
                <w:p>
                  <w:pPr>
                    <w:widowControl/>
                    <w:adjustRightInd w:val="0"/>
                    <w:snapToGrid w:val="0"/>
                    <w:jc w:val="center"/>
                  </w:pPr>
                </w:p>
              </w:tc>
              <w:tc>
                <w:tcPr>
                  <w:tcW w:w="1247" w:type="pct"/>
                  <w:vAlign w:val="center"/>
                </w:tcPr>
                <w:p>
                  <w:pPr>
                    <w:adjustRightInd w:val="0"/>
                    <w:snapToGrid w:val="0"/>
                    <w:jc w:val="center"/>
                  </w:pPr>
                  <w:r>
                    <w:t>24</w:t>
                  </w:r>
                  <w:r>
                    <w:rPr>
                      <w:rFonts w:hint="eastAsia"/>
                    </w:rPr>
                    <w:t>小时平均</w:t>
                  </w:r>
                </w:p>
              </w:tc>
              <w:tc>
                <w:tcPr>
                  <w:tcW w:w="1160" w:type="pct"/>
                  <w:vAlign w:val="center"/>
                </w:tcPr>
                <w:p>
                  <w:pPr>
                    <w:adjustRightInd w:val="0"/>
                    <w:snapToGrid w:val="0"/>
                    <w:jc w:val="center"/>
                  </w:pPr>
                  <w:r>
                    <w:t>150</w:t>
                  </w:r>
                </w:p>
              </w:tc>
              <w:tc>
                <w:tcPr>
                  <w:tcW w:w="1937" w:type="pct"/>
                  <w:vMerge w:val="continue"/>
                  <w:vAlign w:val="center"/>
                </w:tcPr>
                <w:p>
                  <w:pPr>
                    <w:widowControl/>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56" w:type="pct"/>
                  <w:vMerge w:val="continue"/>
                  <w:vAlign w:val="center"/>
                </w:tcPr>
                <w:p>
                  <w:pPr>
                    <w:widowControl/>
                    <w:adjustRightInd w:val="0"/>
                    <w:snapToGrid w:val="0"/>
                    <w:jc w:val="center"/>
                  </w:pPr>
                </w:p>
              </w:tc>
              <w:tc>
                <w:tcPr>
                  <w:tcW w:w="1247" w:type="pct"/>
                  <w:vAlign w:val="center"/>
                </w:tcPr>
                <w:p>
                  <w:pPr>
                    <w:adjustRightInd w:val="0"/>
                    <w:snapToGrid w:val="0"/>
                    <w:jc w:val="center"/>
                  </w:pPr>
                  <w:r>
                    <w:t>1</w:t>
                  </w:r>
                  <w:r>
                    <w:rPr>
                      <w:rFonts w:hint="eastAsia"/>
                    </w:rPr>
                    <w:t>小时平均</w:t>
                  </w:r>
                </w:p>
              </w:tc>
              <w:tc>
                <w:tcPr>
                  <w:tcW w:w="1160" w:type="pct"/>
                  <w:vAlign w:val="center"/>
                </w:tcPr>
                <w:p>
                  <w:pPr>
                    <w:adjustRightInd w:val="0"/>
                    <w:snapToGrid w:val="0"/>
                    <w:jc w:val="center"/>
                  </w:pPr>
                  <w:r>
                    <w:t>500</w:t>
                  </w:r>
                </w:p>
              </w:tc>
              <w:tc>
                <w:tcPr>
                  <w:tcW w:w="1937" w:type="pct"/>
                  <w:vMerge w:val="continue"/>
                  <w:vAlign w:val="center"/>
                </w:tcPr>
                <w:p>
                  <w:pPr>
                    <w:widowControl/>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656" w:type="pct"/>
                  <w:vMerge w:val="restart"/>
                  <w:vAlign w:val="center"/>
                </w:tcPr>
                <w:p>
                  <w:pPr>
                    <w:widowControl/>
                    <w:adjustRightInd w:val="0"/>
                    <w:snapToGrid w:val="0"/>
                    <w:jc w:val="center"/>
                  </w:pPr>
                  <w:r>
                    <w:t>NO</w:t>
                  </w:r>
                  <w:r>
                    <w:rPr>
                      <w:vertAlign w:val="subscript"/>
                    </w:rPr>
                    <w:t>2</w:t>
                  </w:r>
                </w:p>
              </w:tc>
              <w:tc>
                <w:tcPr>
                  <w:tcW w:w="1247" w:type="pct"/>
                  <w:vAlign w:val="center"/>
                </w:tcPr>
                <w:p>
                  <w:pPr>
                    <w:adjustRightInd w:val="0"/>
                    <w:snapToGrid w:val="0"/>
                    <w:jc w:val="center"/>
                  </w:pPr>
                  <w:r>
                    <w:rPr>
                      <w:rFonts w:hint="eastAsia"/>
                    </w:rPr>
                    <w:t>年平均</w:t>
                  </w:r>
                </w:p>
              </w:tc>
              <w:tc>
                <w:tcPr>
                  <w:tcW w:w="1160" w:type="pct"/>
                  <w:vAlign w:val="center"/>
                </w:tcPr>
                <w:p>
                  <w:pPr>
                    <w:adjustRightInd w:val="0"/>
                    <w:snapToGrid w:val="0"/>
                    <w:jc w:val="center"/>
                  </w:pPr>
                  <w:r>
                    <w:t>40</w:t>
                  </w:r>
                </w:p>
              </w:tc>
              <w:tc>
                <w:tcPr>
                  <w:tcW w:w="1937" w:type="pct"/>
                  <w:vMerge w:val="continue"/>
                  <w:vAlign w:val="center"/>
                </w:tcPr>
                <w:p>
                  <w:pPr>
                    <w:widowControl/>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56" w:type="pct"/>
                  <w:vMerge w:val="continue"/>
                  <w:vAlign w:val="center"/>
                </w:tcPr>
                <w:p>
                  <w:pPr>
                    <w:widowControl/>
                    <w:adjustRightInd w:val="0"/>
                    <w:snapToGrid w:val="0"/>
                    <w:jc w:val="center"/>
                  </w:pPr>
                </w:p>
              </w:tc>
              <w:tc>
                <w:tcPr>
                  <w:tcW w:w="1247" w:type="pct"/>
                  <w:vAlign w:val="center"/>
                </w:tcPr>
                <w:p>
                  <w:pPr>
                    <w:adjustRightInd w:val="0"/>
                    <w:snapToGrid w:val="0"/>
                    <w:jc w:val="center"/>
                  </w:pPr>
                  <w:r>
                    <w:t>24</w:t>
                  </w:r>
                  <w:r>
                    <w:rPr>
                      <w:rFonts w:hint="eastAsia"/>
                    </w:rPr>
                    <w:t>小时平均</w:t>
                  </w:r>
                </w:p>
              </w:tc>
              <w:tc>
                <w:tcPr>
                  <w:tcW w:w="1160" w:type="pct"/>
                  <w:vAlign w:val="center"/>
                </w:tcPr>
                <w:p>
                  <w:pPr>
                    <w:adjustRightInd w:val="0"/>
                    <w:snapToGrid w:val="0"/>
                    <w:jc w:val="center"/>
                  </w:pPr>
                  <w:r>
                    <w:t>80</w:t>
                  </w:r>
                </w:p>
              </w:tc>
              <w:tc>
                <w:tcPr>
                  <w:tcW w:w="1937" w:type="pct"/>
                  <w:vMerge w:val="continue"/>
                  <w:vAlign w:val="center"/>
                </w:tcPr>
                <w:p>
                  <w:pPr>
                    <w:widowControl/>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56" w:type="pct"/>
                  <w:vMerge w:val="continue"/>
                  <w:vAlign w:val="center"/>
                </w:tcPr>
                <w:p>
                  <w:pPr>
                    <w:widowControl/>
                    <w:adjustRightInd w:val="0"/>
                    <w:snapToGrid w:val="0"/>
                    <w:jc w:val="center"/>
                  </w:pPr>
                </w:p>
              </w:tc>
              <w:tc>
                <w:tcPr>
                  <w:tcW w:w="1247" w:type="pct"/>
                  <w:vAlign w:val="center"/>
                </w:tcPr>
                <w:p>
                  <w:pPr>
                    <w:adjustRightInd w:val="0"/>
                    <w:snapToGrid w:val="0"/>
                    <w:jc w:val="center"/>
                  </w:pPr>
                  <w:r>
                    <w:t>1</w:t>
                  </w:r>
                  <w:r>
                    <w:rPr>
                      <w:rFonts w:hint="eastAsia"/>
                    </w:rPr>
                    <w:t>小时平均</w:t>
                  </w:r>
                </w:p>
              </w:tc>
              <w:tc>
                <w:tcPr>
                  <w:tcW w:w="1160" w:type="pct"/>
                  <w:vAlign w:val="center"/>
                </w:tcPr>
                <w:p>
                  <w:pPr>
                    <w:adjustRightInd w:val="0"/>
                    <w:snapToGrid w:val="0"/>
                    <w:jc w:val="center"/>
                  </w:pPr>
                  <w:r>
                    <w:t>200</w:t>
                  </w:r>
                </w:p>
              </w:tc>
              <w:tc>
                <w:tcPr>
                  <w:tcW w:w="1937" w:type="pct"/>
                  <w:vMerge w:val="continue"/>
                  <w:vAlign w:val="center"/>
                </w:tcPr>
                <w:p>
                  <w:pPr>
                    <w:widowControl/>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56" w:type="pct"/>
                  <w:vMerge w:val="restart"/>
                  <w:vAlign w:val="center"/>
                </w:tcPr>
                <w:p>
                  <w:pPr>
                    <w:widowControl/>
                    <w:adjustRightInd w:val="0"/>
                    <w:snapToGrid w:val="0"/>
                    <w:jc w:val="center"/>
                  </w:pPr>
                  <w:r>
                    <w:t>NO</w:t>
                  </w:r>
                  <w:r>
                    <w:rPr>
                      <w:vertAlign w:val="subscript"/>
                    </w:rPr>
                    <w:t>x</w:t>
                  </w:r>
                </w:p>
              </w:tc>
              <w:tc>
                <w:tcPr>
                  <w:tcW w:w="1247" w:type="pct"/>
                  <w:vAlign w:val="center"/>
                </w:tcPr>
                <w:p>
                  <w:pPr>
                    <w:adjustRightInd w:val="0"/>
                    <w:snapToGrid w:val="0"/>
                    <w:jc w:val="center"/>
                  </w:pPr>
                  <w:r>
                    <w:t>24</w:t>
                  </w:r>
                  <w:r>
                    <w:rPr>
                      <w:rFonts w:hint="eastAsia"/>
                    </w:rPr>
                    <w:t>小时平均</w:t>
                  </w:r>
                </w:p>
              </w:tc>
              <w:tc>
                <w:tcPr>
                  <w:tcW w:w="1160" w:type="pct"/>
                  <w:vAlign w:val="center"/>
                </w:tcPr>
                <w:p>
                  <w:pPr>
                    <w:adjustRightInd w:val="0"/>
                    <w:snapToGrid w:val="0"/>
                    <w:jc w:val="center"/>
                  </w:pPr>
                  <w:r>
                    <w:t>100</w:t>
                  </w:r>
                </w:p>
              </w:tc>
              <w:tc>
                <w:tcPr>
                  <w:tcW w:w="1937" w:type="pct"/>
                  <w:vMerge w:val="continue"/>
                  <w:vAlign w:val="center"/>
                </w:tcPr>
                <w:p>
                  <w:pPr>
                    <w:widowControl/>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56" w:type="pct"/>
                  <w:vMerge w:val="continue"/>
                  <w:vAlign w:val="center"/>
                </w:tcPr>
                <w:p>
                  <w:pPr>
                    <w:widowControl/>
                    <w:adjustRightInd w:val="0"/>
                    <w:snapToGrid w:val="0"/>
                    <w:jc w:val="center"/>
                  </w:pPr>
                </w:p>
              </w:tc>
              <w:tc>
                <w:tcPr>
                  <w:tcW w:w="1247" w:type="pct"/>
                  <w:vAlign w:val="center"/>
                </w:tcPr>
                <w:p>
                  <w:pPr>
                    <w:adjustRightInd w:val="0"/>
                    <w:snapToGrid w:val="0"/>
                    <w:jc w:val="center"/>
                  </w:pPr>
                  <w:r>
                    <w:t>1</w:t>
                  </w:r>
                  <w:r>
                    <w:rPr>
                      <w:rFonts w:hint="eastAsia"/>
                    </w:rPr>
                    <w:t>小时平均</w:t>
                  </w:r>
                </w:p>
              </w:tc>
              <w:tc>
                <w:tcPr>
                  <w:tcW w:w="1160" w:type="pct"/>
                  <w:vAlign w:val="center"/>
                </w:tcPr>
                <w:p>
                  <w:pPr>
                    <w:adjustRightInd w:val="0"/>
                    <w:snapToGrid w:val="0"/>
                    <w:jc w:val="center"/>
                  </w:pPr>
                  <w:r>
                    <w:t>250</w:t>
                  </w:r>
                </w:p>
              </w:tc>
              <w:tc>
                <w:tcPr>
                  <w:tcW w:w="1937" w:type="pct"/>
                  <w:vMerge w:val="continue"/>
                  <w:vAlign w:val="center"/>
                </w:tcPr>
                <w:p>
                  <w:pPr>
                    <w:widowControl/>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56" w:type="pct"/>
                  <w:vMerge w:val="restart"/>
                  <w:vAlign w:val="center"/>
                </w:tcPr>
                <w:p>
                  <w:pPr>
                    <w:adjustRightInd w:val="0"/>
                    <w:snapToGrid w:val="0"/>
                    <w:jc w:val="center"/>
                  </w:pPr>
                  <w:r>
                    <w:rPr>
                      <w:bCs/>
                    </w:rPr>
                    <w:t>TSP</w:t>
                  </w:r>
                </w:p>
              </w:tc>
              <w:tc>
                <w:tcPr>
                  <w:tcW w:w="1247" w:type="pct"/>
                  <w:vAlign w:val="center"/>
                </w:tcPr>
                <w:p>
                  <w:pPr>
                    <w:adjustRightInd w:val="0"/>
                    <w:snapToGrid w:val="0"/>
                    <w:jc w:val="center"/>
                  </w:pPr>
                  <w:r>
                    <w:rPr>
                      <w:rFonts w:hint="eastAsia"/>
                    </w:rPr>
                    <w:t>年平均</w:t>
                  </w:r>
                </w:p>
              </w:tc>
              <w:tc>
                <w:tcPr>
                  <w:tcW w:w="1160" w:type="pct"/>
                  <w:vAlign w:val="center"/>
                </w:tcPr>
                <w:p>
                  <w:pPr>
                    <w:adjustRightInd w:val="0"/>
                    <w:snapToGrid w:val="0"/>
                    <w:jc w:val="center"/>
                  </w:pPr>
                  <w:r>
                    <w:t>200</w:t>
                  </w:r>
                </w:p>
              </w:tc>
              <w:tc>
                <w:tcPr>
                  <w:tcW w:w="1937" w:type="pct"/>
                  <w:vMerge w:val="continue"/>
                  <w:vAlign w:val="center"/>
                </w:tcPr>
                <w:p>
                  <w:pPr>
                    <w:widowControl/>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656" w:type="pct"/>
                  <w:vMerge w:val="continue"/>
                  <w:vAlign w:val="center"/>
                </w:tcPr>
                <w:p>
                  <w:pPr>
                    <w:widowControl/>
                    <w:adjustRightInd w:val="0"/>
                    <w:snapToGrid w:val="0"/>
                    <w:jc w:val="center"/>
                  </w:pPr>
                </w:p>
              </w:tc>
              <w:tc>
                <w:tcPr>
                  <w:tcW w:w="1247" w:type="pct"/>
                  <w:vAlign w:val="center"/>
                </w:tcPr>
                <w:p>
                  <w:pPr>
                    <w:adjustRightInd w:val="0"/>
                    <w:snapToGrid w:val="0"/>
                    <w:jc w:val="center"/>
                  </w:pPr>
                  <w:r>
                    <w:t>24</w:t>
                  </w:r>
                  <w:r>
                    <w:rPr>
                      <w:rFonts w:hint="eastAsia"/>
                    </w:rPr>
                    <w:t>小时平均</w:t>
                  </w:r>
                </w:p>
              </w:tc>
              <w:tc>
                <w:tcPr>
                  <w:tcW w:w="1160" w:type="pct"/>
                  <w:vAlign w:val="center"/>
                </w:tcPr>
                <w:p>
                  <w:pPr>
                    <w:pStyle w:val="83"/>
                    <w:rPr>
                      <w:rFonts w:ascii="Times New Roman" w:hAnsi="Times New Roman"/>
                      <w:color w:val="auto"/>
                    </w:rPr>
                  </w:pPr>
                  <w:r>
                    <w:rPr>
                      <w:rFonts w:ascii="Times New Roman" w:hAnsi="Times New Roman"/>
                      <w:color w:val="auto"/>
                    </w:rPr>
                    <w:t>300</w:t>
                  </w:r>
                </w:p>
              </w:tc>
              <w:tc>
                <w:tcPr>
                  <w:tcW w:w="1937" w:type="pct"/>
                  <w:vMerge w:val="continue"/>
                  <w:vAlign w:val="center"/>
                </w:tcPr>
                <w:p>
                  <w:pPr>
                    <w:widowControl/>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656" w:type="pct"/>
                  <w:vMerge w:val="restart"/>
                  <w:vAlign w:val="center"/>
                </w:tcPr>
                <w:p>
                  <w:pPr>
                    <w:adjustRightInd w:val="0"/>
                    <w:snapToGrid w:val="0"/>
                    <w:jc w:val="center"/>
                  </w:pPr>
                  <w:r>
                    <w:t>PM</w:t>
                  </w:r>
                  <w:r>
                    <w:rPr>
                      <w:vertAlign w:val="subscript"/>
                    </w:rPr>
                    <w:t>10</w:t>
                  </w:r>
                </w:p>
              </w:tc>
              <w:tc>
                <w:tcPr>
                  <w:tcW w:w="1247" w:type="pct"/>
                  <w:vAlign w:val="center"/>
                </w:tcPr>
                <w:p>
                  <w:pPr>
                    <w:adjustRightInd w:val="0"/>
                    <w:snapToGrid w:val="0"/>
                    <w:jc w:val="center"/>
                  </w:pPr>
                  <w:r>
                    <w:rPr>
                      <w:rFonts w:hint="eastAsia"/>
                    </w:rPr>
                    <w:t>年平均</w:t>
                  </w:r>
                </w:p>
              </w:tc>
              <w:tc>
                <w:tcPr>
                  <w:tcW w:w="1160" w:type="pct"/>
                  <w:vAlign w:val="center"/>
                </w:tcPr>
                <w:p>
                  <w:pPr>
                    <w:pStyle w:val="83"/>
                    <w:rPr>
                      <w:rFonts w:ascii="Times New Roman" w:hAnsi="Times New Roman"/>
                      <w:color w:val="auto"/>
                    </w:rPr>
                  </w:pPr>
                  <w:r>
                    <w:rPr>
                      <w:rFonts w:ascii="Times New Roman" w:hAnsi="Times New Roman"/>
                      <w:color w:val="auto"/>
                    </w:rPr>
                    <w:t>70</w:t>
                  </w:r>
                </w:p>
              </w:tc>
              <w:tc>
                <w:tcPr>
                  <w:tcW w:w="1937" w:type="pct"/>
                  <w:vMerge w:val="continue"/>
                  <w:vAlign w:val="center"/>
                </w:tcPr>
                <w:p>
                  <w:pPr>
                    <w:widowControl/>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656" w:type="pct"/>
                  <w:vMerge w:val="continue"/>
                  <w:vAlign w:val="center"/>
                </w:tcPr>
                <w:p>
                  <w:pPr>
                    <w:widowControl/>
                    <w:adjustRightInd w:val="0"/>
                    <w:snapToGrid w:val="0"/>
                    <w:jc w:val="center"/>
                  </w:pPr>
                </w:p>
              </w:tc>
              <w:tc>
                <w:tcPr>
                  <w:tcW w:w="1247" w:type="pct"/>
                  <w:vAlign w:val="center"/>
                </w:tcPr>
                <w:p>
                  <w:pPr>
                    <w:adjustRightInd w:val="0"/>
                    <w:snapToGrid w:val="0"/>
                    <w:jc w:val="center"/>
                  </w:pPr>
                  <w:r>
                    <w:t>24</w:t>
                  </w:r>
                  <w:r>
                    <w:rPr>
                      <w:rFonts w:hint="eastAsia"/>
                    </w:rPr>
                    <w:t>小时平均</w:t>
                  </w:r>
                </w:p>
              </w:tc>
              <w:tc>
                <w:tcPr>
                  <w:tcW w:w="1160" w:type="pct"/>
                  <w:vAlign w:val="center"/>
                </w:tcPr>
                <w:p>
                  <w:pPr>
                    <w:pStyle w:val="83"/>
                    <w:rPr>
                      <w:rFonts w:ascii="Times New Roman" w:hAnsi="Times New Roman"/>
                      <w:color w:val="auto"/>
                    </w:rPr>
                  </w:pPr>
                  <w:r>
                    <w:rPr>
                      <w:rFonts w:ascii="Times New Roman" w:hAnsi="Times New Roman"/>
                      <w:color w:val="auto"/>
                    </w:rPr>
                    <w:t>150</w:t>
                  </w:r>
                </w:p>
              </w:tc>
              <w:tc>
                <w:tcPr>
                  <w:tcW w:w="1937" w:type="pct"/>
                  <w:vMerge w:val="continue"/>
                  <w:vAlign w:val="center"/>
                </w:tcPr>
                <w:p>
                  <w:pPr>
                    <w:widowControl/>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656" w:type="pct"/>
                  <w:vMerge w:val="restart"/>
                  <w:vAlign w:val="center"/>
                </w:tcPr>
                <w:p>
                  <w:pPr>
                    <w:adjustRightInd w:val="0"/>
                    <w:snapToGrid w:val="0"/>
                    <w:jc w:val="center"/>
                  </w:pPr>
                  <w:r>
                    <w:t>PM</w:t>
                  </w:r>
                  <w:r>
                    <w:rPr>
                      <w:vertAlign w:val="subscript"/>
                    </w:rPr>
                    <w:t>2.5</w:t>
                  </w:r>
                </w:p>
              </w:tc>
              <w:tc>
                <w:tcPr>
                  <w:tcW w:w="1247" w:type="pct"/>
                  <w:vAlign w:val="center"/>
                </w:tcPr>
                <w:p>
                  <w:pPr>
                    <w:adjustRightInd w:val="0"/>
                    <w:snapToGrid w:val="0"/>
                    <w:jc w:val="center"/>
                  </w:pPr>
                  <w:r>
                    <w:rPr>
                      <w:rFonts w:hint="eastAsia"/>
                    </w:rPr>
                    <w:t>年平均</w:t>
                  </w:r>
                </w:p>
              </w:tc>
              <w:tc>
                <w:tcPr>
                  <w:tcW w:w="1160" w:type="pct"/>
                  <w:vAlign w:val="center"/>
                </w:tcPr>
                <w:p>
                  <w:pPr>
                    <w:pStyle w:val="83"/>
                    <w:rPr>
                      <w:rFonts w:ascii="Times New Roman" w:hAnsi="Times New Roman"/>
                      <w:color w:val="auto"/>
                    </w:rPr>
                  </w:pPr>
                  <w:r>
                    <w:rPr>
                      <w:rFonts w:ascii="Times New Roman" w:hAnsi="Times New Roman"/>
                      <w:color w:val="auto"/>
                    </w:rPr>
                    <w:t>35</w:t>
                  </w:r>
                </w:p>
              </w:tc>
              <w:tc>
                <w:tcPr>
                  <w:tcW w:w="1937" w:type="pct"/>
                  <w:vMerge w:val="continue"/>
                  <w:vAlign w:val="center"/>
                </w:tcPr>
                <w:p>
                  <w:pPr>
                    <w:widowControl/>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656" w:type="pct"/>
                  <w:vMerge w:val="continue"/>
                  <w:vAlign w:val="center"/>
                </w:tcPr>
                <w:p>
                  <w:pPr>
                    <w:widowControl/>
                    <w:adjustRightInd w:val="0"/>
                    <w:snapToGrid w:val="0"/>
                    <w:jc w:val="center"/>
                  </w:pPr>
                </w:p>
              </w:tc>
              <w:tc>
                <w:tcPr>
                  <w:tcW w:w="1247" w:type="pct"/>
                  <w:vAlign w:val="center"/>
                </w:tcPr>
                <w:p>
                  <w:pPr>
                    <w:adjustRightInd w:val="0"/>
                    <w:snapToGrid w:val="0"/>
                    <w:jc w:val="center"/>
                  </w:pPr>
                  <w:r>
                    <w:t>24</w:t>
                  </w:r>
                  <w:r>
                    <w:rPr>
                      <w:rFonts w:hint="eastAsia"/>
                    </w:rPr>
                    <w:t>小时平均</w:t>
                  </w:r>
                </w:p>
              </w:tc>
              <w:tc>
                <w:tcPr>
                  <w:tcW w:w="1160" w:type="pct"/>
                  <w:vAlign w:val="center"/>
                </w:tcPr>
                <w:p>
                  <w:pPr>
                    <w:pStyle w:val="83"/>
                    <w:rPr>
                      <w:rFonts w:ascii="Times New Roman" w:hAnsi="Times New Roman"/>
                      <w:color w:val="auto"/>
                    </w:rPr>
                  </w:pPr>
                  <w:r>
                    <w:rPr>
                      <w:rFonts w:ascii="Times New Roman" w:hAnsi="Times New Roman"/>
                      <w:color w:val="auto"/>
                    </w:rPr>
                    <w:t>75</w:t>
                  </w:r>
                </w:p>
              </w:tc>
              <w:tc>
                <w:tcPr>
                  <w:tcW w:w="1937" w:type="pct"/>
                  <w:vMerge w:val="continue"/>
                  <w:vAlign w:val="center"/>
                </w:tcPr>
                <w:p>
                  <w:pPr>
                    <w:widowControl/>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656" w:type="pct"/>
                  <w:vMerge w:val="restart"/>
                  <w:vAlign w:val="center"/>
                </w:tcPr>
                <w:p>
                  <w:pPr>
                    <w:adjustRightInd w:val="0"/>
                    <w:snapToGrid w:val="0"/>
                    <w:jc w:val="center"/>
                  </w:pPr>
                  <w:r>
                    <w:t>O</w:t>
                  </w:r>
                  <w:r>
                    <w:rPr>
                      <w:vertAlign w:val="subscript"/>
                    </w:rPr>
                    <w:t>3</w:t>
                  </w:r>
                </w:p>
              </w:tc>
              <w:tc>
                <w:tcPr>
                  <w:tcW w:w="1247" w:type="pct"/>
                  <w:vAlign w:val="center"/>
                </w:tcPr>
                <w:p>
                  <w:pPr>
                    <w:adjustRightInd w:val="0"/>
                    <w:snapToGrid w:val="0"/>
                    <w:jc w:val="center"/>
                  </w:pPr>
                  <w:r>
                    <w:rPr>
                      <w:rFonts w:hint="eastAsia"/>
                    </w:rPr>
                    <w:t>日最大</w:t>
                  </w:r>
                  <w:r>
                    <w:t>8</w:t>
                  </w:r>
                  <w:r>
                    <w:rPr>
                      <w:rFonts w:hint="eastAsia"/>
                    </w:rPr>
                    <w:t>小时平均</w:t>
                  </w:r>
                </w:p>
              </w:tc>
              <w:tc>
                <w:tcPr>
                  <w:tcW w:w="1160" w:type="pct"/>
                  <w:vAlign w:val="center"/>
                </w:tcPr>
                <w:p>
                  <w:pPr>
                    <w:pStyle w:val="83"/>
                    <w:rPr>
                      <w:rFonts w:ascii="Times New Roman" w:hAnsi="Times New Roman"/>
                      <w:color w:val="auto"/>
                    </w:rPr>
                  </w:pPr>
                  <w:r>
                    <w:rPr>
                      <w:rFonts w:ascii="Times New Roman" w:hAnsi="Times New Roman"/>
                      <w:color w:val="auto"/>
                    </w:rPr>
                    <w:t>160</w:t>
                  </w:r>
                </w:p>
              </w:tc>
              <w:tc>
                <w:tcPr>
                  <w:tcW w:w="1937" w:type="pct"/>
                  <w:vMerge w:val="continue"/>
                  <w:vAlign w:val="center"/>
                </w:tcPr>
                <w:p>
                  <w:pPr>
                    <w:widowControl/>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656" w:type="pct"/>
                  <w:vMerge w:val="continue"/>
                  <w:vAlign w:val="center"/>
                </w:tcPr>
                <w:p>
                  <w:pPr>
                    <w:widowControl/>
                    <w:adjustRightInd w:val="0"/>
                    <w:snapToGrid w:val="0"/>
                    <w:jc w:val="center"/>
                  </w:pPr>
                </w:p>
              </w:tc>
              <w:tc>
                <w:tcPr>
                  <w:tcW w:w="1247" w:type="pct"/>
                  <w:vAlign w:val="center"/>
                </w:tcPr>
                <w:p>
                  <w:pPr>
                    <w:adjustRightInd w:val="0"/>
                    <w:snapToGrid w:val="0"/>
                    <w:jc w:val="center"/>
                  </w:pPr>
                  <w:r>
                    <w:t>1</w:t>
                  </w:r>
                  <w:r>
                    <w:rPr>
                      <w:rFonts w:hint="eastAsia"/>
                    </w:rPr>
                    <w:t>小时平均</w:t>
                  </w:r>
                </w:p>
              </w:tc>
              <w:tc>
                <w:tcPr>
                  <w:tcW w:w="1160" w:type="pct"/>
                  <w:vAlign w:val="center"/>
                </w:tcPr>
                <w:p>
                  <w:pPr>
                    <w:pStyle w:val="83"/>
                    <w:rPr>
                      <w:rFonts w:ascii="Times New Roman" w:hAnsi="Times New Roman"/>
                      <w:color w:val="auto"/>
                    </w:rPr>
                  </w:pPr>
                  <w:r>
                    <w:rPr>
                      <w:rFonts w:ascii="Times New Roman" w:hAnsi="Times New Roman"/>
                      <w:color w:val="auto"/>
                    </w:rPr>
                    <w:t>200</w:t>
                  </w:r>
                </w:p>
              </w:tc>
              <w:tc>
                <w:tcPr>
                  <w:tcW w:w="1937" w:type="pct"/>
                  <w:vMerge w:val="continue"/>
                  <w:vAlign w:val="center"/>
                </w:tcPr>
                <w:p>
                  <w:pPr>
                    <w:widowControl/>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656" w:type="pct"/>
                  <w:vMerge w:val="restart"/>
                  <w:vAlign w:val="center"/>
                </w:tcPr>
                <w:p>
                  <w:pPr>
                    <w:adjustRightInd w:val="0"/>
                    <w:snapToGrid w:val="0"/>
                    <w:jc w:val="center"/>
                  </w:pPr>
                  <w:r>
                    <w:t>CO</w:t>
                  </w:r>
                </w:p>
              </w:tc>
              <w:tc>
                <w:tcPr>
                  <w:tcW w:w="1247" w:type="pct"/>
                  <w:vAlign w:val="center"/>
                </w:tcPr>
                <w:p>
                  <w:pPr>
                    <w:adjustRightInd w:val="0"/>
                    <w:snapToGrid w:val="0"/>
                    <w:jc w:val="center"/>
                  </w:pPr>
                  <w:r>
                    <w:t>24</w:t>
                  </w:r>
                  <w:r>
                    <w:rPr>
                      <w:rFonts w:hint="eastAsia"/>
                    </w:rPr>
                    <w:t>小时平均</w:t>
                  </w:r>
                </w:p>
              </w:tc>
              <w:tc>
                <w:tcPr>
                  <w:tcW w:w="1160" w:type="pct"/>
                  <w:vAlign w:val="center"/>
                </w:tcPr>
                <w:p>
                  <w:pPr>
                    <w:pStyle w:val="83"/>
                    <w:rPr>
                      <w:rFonts w:ascii="Times New Roman" w:hAnsi="Times New Roman"/>
                      <w:color w:val="auto"/>
                    </w:rPr>
                  </w:pPr>
                  <w:r>
                    <w:rPr>
                      <w:rFonts w:ascii="Times New Roman" w:hAnsi="Times New Roman"/>
                      <w:color w:val="auto"/>
                    </w:rPr>
                    <w:t>4000</w:t>
                  </w:r>
                </w:p>
              </w:tc>
              <w:tc>
                <w:tcPr>
                  <w:tcW w:w="1937" w:type="pct"/>
                  <w:vMerge w:val="continue"/>
                  <w:vAlign w:val="center"/>
                </w:tcPr>
                <w:p>
                  <w:pPr>
                    <w:widowControl/>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656" w:type="pct"/>
                  <w:vMerge w:val="continue"/>
                  <w:vAlign w:val="center"/>
                </w:tcPr>
                <w:p>
                  <w:pPr>
                    <w:widowControl/>
                    <w:adjustRightInd w:val="0"/>
                    <w:snapToGrid w:val="0"/>
                    <w:jc w:val="center"/>
                  </w:pPr>
                </w:p>
              </w:tc>
              <w:tc>
                <w:tcPr>
                  <w:tcW w:w="1247" w:type="pct"/>
                  <w:vAlign w:val="center"/>
                </w:tcPr>
                <w:p>
                  <w:pPr>
                    <w:adjustRightInd w:val="0"/>
                    <w:snapToGrid w:val="0"/>
                    <w:jc w:val="center"/>
                  </w:pPr>
                  <w:r>
                    <w:t>1</w:t>
                  </w:r>
                  <w:r>
                    <w:rPr>
                      <w:rFonts w:hint="eastAsia"/>
                    </w:rPr>
                    <w:t>小时平均</w:t>
                  </w:r>
                </w:p>
              </w:tc>
              <w:tc>
                <w:tcPr>
                  <w:tcW w:w="1160" w:type="pct"/>
                  <w:vAlign w:val="center"/>
                </w:tcPr>
                <w:p>
                  <w:pPr>
                    <w:pStyle w:val="83"/>
                    <w:rPr>
                      <w:rFonts w:ascii="Times New Roman" w:hAnsi="Times New Roman"/>
                      <w:color w:val="auto"/>
                    </w:rPr>
                  </w:pPr>
                  <w:r>
                    <w:rPr>
                      <w:rFonts w:ascii="Times New Roman" w:hAnsi="Times New Roman"/>
                      <w:color w:val="auto"/>
                    </w:rPr>
                    <w:t>10000</w:t>
                  </w:r>
                </w:p>
              </w:tc>
              <w:tc>
                <w:tcPr>
                  <w:tcW w:w="1937" w:type="pct"/>
                  <w:vMerge w:val="continue"/>
                  <w:vAlign w:val="center"/>
                </w:tcPr>
                <w:p>
                  <w:pPr>
                    <w:widowControl/>
                    <w:adjustRightInd w:val="0"/>
                    <w:snapToGrid w:val="0"/>
                    <w:jc w:val="center"/>
                  </w:pPr>
                </w:p>
              </w:tc>
            </w:tr>
          </w:tbl>
          <w:p>
            <w:pPr>
              <w:pStyle w:val="11"/>
              <w:spacing w:beforeLines="50" w:line="360" w:lineRule="auto"/>
              <w:ind w:firstLine="480"/>
              <w:rPr>
                <w:sz w:val="24"/>
              </w:rPr>
            </w:pPr>
            <w:r>
              <w:rPr>
                <w:sz w:val="24"/>
              </w:rPr>
              <w:t>2、地表水环境质量标准</w:t>
            </w:r>
          </w:p>
          <w:p>
            <w:pPr>
              <w:pStyle w:val="17"/>
              <w:ind w:firstLineChars="200"/>
            </w:pPr>
            <w:r>
              <w:rPr>
                <w:rFonts w:hint="eastAsia"/>
              </w:rPr>
              <w:t>按《江苏省地表水（环境）功能区划》，项目周边河流</w:t>
            </w:r>
            <w:r>
              <w:rPr>
                <w:rFonts w:hint="eastAsia"/>
                <w:szCs w:val="24"/>
                <w:lang w:eastAsia="zh-CN"/>
              </w:rPr>
              <w:t>后沭河</w:t>
            </w:r>
            <w:r>
              <w:rPr>
                <w:rFonts w:hint="eastAsia"/>
                <w:szCs w:val="24"/>
              </w:rPr>
              <w:t>水质</w:t>
            </w:r>
            <w:r>
              <w:rPr>
                <w:rFonts w:hint="eastAsia"/>
              </w:rPr>
              <w:t>执行《地表水环境质量标准》（</w:t>
            </w:r>
            <w:r>
              <w:t>GB3838-2002</w:t>
            </w:r>
            <w:r>
              <w:rPr>
                <w:rFonts w:hint="eastAsia"/>
              </w:rPr>
              <w:t>）中</w:t>
            </w:r>
            <w:r>
              <w:rPr>
                <w:rFonts w:hint="eastAsia" w:ascii="宋体" w:hAnsi="宋体" w:cs="宋体"/>
              </w:rPr>
              <w:t>Ⅲ</w:t>
            </w:r>
            <w:r>
              <w:rPr>
                <w:rFonts w:hint="eastAsia"/>
              </w:rPr>
              <w:t>类标准，具体标准限值见表</w:t>
            </w:r>
            <w:r>
              <w:t>4-2</w:t>
            </w:r>
            <w:r>
              <w:rPr>
                <w:rFonts w:hint="eastAsia"/>
              </w:rPr>
              <w:t>，其中固体悬浮物</w:t>
            </w:r>
            <w:r>
              <w:rPr>
                <w:rFonts w:ascii="宋体" w:hAnsi="宋体"/>
              </w:rPr>
              <w:t>(</w:t>
            </w:r>
            <w:r>
              <w:t>SS</w:t>
            </w:r>
            <w:r>
              <w:rPr>
                <w:rFonts w:ascii="宋体" w:hAnsi="宋体"/>
              </w:rPr>
              <w:t>)</w:t>
            </w:r>
            <w:r>
              <w:rPr>
                <w:rFonts w:hint="eastAsia"/>
              </w:rPr>
              <w:t>使用水利部《地表水资源质量标准》（</w:t>
            </w:r>
            <w:r>
              <w:t>SL63-94</w:t>
            </w:r>
            <w:r>
              <w:rPr>
                <w:rFonts w:hint="eastAsia"/>
              </w:rPr>
              <w:t>）作为参考标准。</w:t>
            </w:r>
          </w:p>
          <w:p>
            <w:pPr>
              <w:adjustRightInd w:val="0"/>
              <w:snapToGrid w:val="0"/>
              <w:jc w:val="center"/>
              <w:rPr>
                <w:b/>
                <w:bCs/>
                <w:sz w:val="24"/>
                <w:szCs w:val="24"/>
              </w:rPr>
            </w:pPr>
            <w:r>
              <w:rPr>
                <w:b/>
                <w:sz w:val="24"/>
                <w:szCs w:val="24"/>
              </w:rPr>
              <w:t>表</w:t>
            </w:r>
            <w:r>
              <w:rPr>
                <w:rFonts w:hint="eastAsia"/>
                <w:b/>
                <w:sz w:val="24"/>
                <w:szCs w:val="24"/>
              </w:rPr>
              <w:t xml:space="preserve">4-2  </w:t>
            </w:r>
            <w:r>
              <w:rPr>
                <w:b/>
                <w:sz w:val="24"/>
                <w:szCs w:val="24"/>
              </w:rPr>
              <w:t>地表水环境质量标准限值单位：除pH外为mg/L</w:t>
            </w:r>
          </w:p>
          <w:tbl>
            <w:tblPr>
              <w:tblStyle w:val="33"/>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966"/>
              <w:gridCol w:w="846"/>
              <w:gridCol w:w="845"/>
              <w:gridCol w:w="966"/>
              <w:gridCol w:w="966"/>
              <w:gridCol w:w="1132"/>
              <w:gridCol w:w="11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551" w:type="pct"/>
                  <w:vAlign w:val="center"/>
                </w:tcPr>
                <w:p>
                  <w:pPr>
                    <w:jc w:val="center"/>
                    <w:rPr>
                      <w:b/>
                      <w:bCs/>
                      <w:szCs w:val="21"/>
                    </w:rPr>
                  </w:pPr>
                  <w:r>
                    <w:rPr>
                      <w:b/>
                      <w:bCs/>
                      <w:szCs w:val="21"/>
                    </w:rPr>
                    <w:t>类别</w:t>
                  </w:r>
                </w:p>
              </w:tc>
              <w:tc>
                <w:tcPr>
                  <w:tcW w:w="627" w:type="pct"/>
                  <w:vAlign w:val="center"/>
                </w:tcPr>
                <w:p>
                  <w:pPr>
                    <w:jc w:val="center"/>
                    <w:rPr>
                      <w:b/>
                      <w:bCs/>
                      <w:szCs w:val="21"/>
                    </w:rPr>
                  </w:pPr>
                  <w:r>
                    <w:rPr>
                      <w:b/>
                      <w:bCs/>
                      <w:szCs w:val="21"/>
                    </w:rPr>
                    <w:t>pH</w:t>
                  </w:r>
                </w:p>
              </w:tc>
              <w:tc>
                <w:tcPr>
                  <w:tcW w:w="549" w:type="pct"/>
                  <w:vAlign w:val="center"/>
                </w:tcPr>
                <w:p>
                  <w:pPr>
                    <w:jc w:val="center"/>
                    <w:rPr>
                      <w:b/>
                      <w:bCs/>
                      <w:szCs w:val="21"/>
                    </w:rPr>
                  </w:pPr>
                  <w:r>
                    <w:rPr>
                      <w:b/>
                      <w:bCs/>
                      <w:szCs w:val="21"/>
                    </w:rPr>
                    <w:t>COD</w:t>
                  </w:r>
                  <w:r>
                    <w:rPr>
                      <w:b/>
                      <w:bCs/>
                      <w:szCs w:val="21"/>
                      <w:vertAlign w:val="subscript"/>
                    </w:rPr>
                    <w:t>Cr</w:t>
                  </w:r>
                </w:p>
              </w:tc>
              <w:tc>
                <w:tcPr>
                  <w:tcW w:w="548" w:type="pct"/>
                  <w:vAlign w:val="center"/>
                </w:tcPr>
                <w:p>
                  <w:pPr>
                    <w:jc w:val="center"/>
                    <w:rPr>
                      <w:b/>
                      <w:bCs/>
                      <w:szCs w:val="21"/>
                    </w:rPr>
                  </w:pPr>
                  <w:r>
                    <w:rPr>
                      <w:b/>
                      <w:bCs/>
                      <w:szCs w:val="21"/>
                    </w:rPr>
                    <w:t>BOD</w:t>
                  </w:r>
                  <w:r>
                    <w:rPr>
                      <w:b/>
                      <w:bCs/>
                      <w:szCs w:val="21"/>
                      <w:vertAlign w:val="subscript"/>
                    </w:rPr>
                    <w:t>5</w:t>
                  </w:r>
                </w:p>
              </w:tc>
              <w:tc>
                <w:tcPr>
                  <w:tcW w:w="627" w:type="pct"/>
                  <w:vAlign w:val="center"/>
                </w:tcPr>
                <w:p>
                  <w:pPr>
                    <w:jc w:val="center"/>
                    <w:rPr>
                      <w:b/>
                      <w:bCs/>
                      <w:szCs w:val="21"/>
                    </w:rPr>
                  </w:pPr>
                  <w:r>
                    <w:rPr>
                      <w:b/>
                      <w:bCs/>
                      <w:szCs w:val="21"/>
                    </w:rPr>
                    <w:t>氨氮</w:t>
                  </w:r>
                </w:p>
              </w:tc>
              <w:tc>
                <w:tcPr>
                  <w:tcW w:w="627" w:type="pct"/>
                  <w:vAlign w:val="center"/>
                </w:tcPr>
                <w:p>
                  <w:pPr>
                    <w:jc w:val="center"/>
                    <w:rPr>
                      <w:b/>
                      <w:bCs/>
                      <w:szCs w:val="21"/>
                    </w:rPr>
                  </w:pPr>
                  <w:r>
                    <w:rPr>
                      <w:b/>
                      <w:bCs/>
                      <w:szCs w:val="21"/>
                    </w:rPr>
                    <w:t>总磷</w:t>
                  </w:r>
                </w:p>
              </w:tc>
              <w:tc>
                <w:tcPr>
                  <w:tcW w:w="734" w:type="pct"/>
                  <w:vAlign w:val="center"/>
                </w:tcPr>
                <w:p>
                  <w:pPr>
                    <w:jc w:val="center"/>
                    <w:rPr>
                      <w:b/>
                      <w:bCs/>
                      <w:szCs w:val="21"/>
                    </w:rPr>
                  </w:pPr>
                  <w:r>
                    <w:rPr>
                      <w:b/>
                      <w:bCs/>
                      <w:szCs w:val="21"/>
                    </w:rPr>
                    <w:t>石油类</w:t>
                  </w:r>
                </w:p>
              </w:tc>
              <w:tc>
                <w:tcPr>
                  <w:tcW w:w="734" w:type="pct"/>
                  <w:vAlign w:val="center"/>
                </w:tcPr>
                <w:p>
                  <w:pPr>
                    <w:jc w:val="center"/>
                    <w:rPr>
                      <w:rFonts w:hint="default" w:eastAsia="宋体"/>
                      <w:b/>
                      <w:bCs/>
                      <w:szCs w:val="21"/>
                      <w:lang w:val="en-US" w:eastAsia="zh-CN"/>
                    </w:rPr>
                  </w:pPr>
                  <w:r>
                    <w:rPr>
                      <w:rFonts w:hint="eastAsia"/>
                      <w:b/>
                      <w:bCs/>
                      <w:szCs w:val="21"/>
                      <w:lang w:val="en-US" w:eastAsia="zh-CN"/>
                    </w:rPr>
                    <w:t>SS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551" w:type="pct"/>
                  <w:vAlign w:val="center"/>
                </w:tcPr>
                <w:p>
                  <w:pPr>
                    <w:adjustRightInd w:val="0"/>
                    <w:snapToGrid w:val="0"/>
                    <w:jc w:val="center"/>
                    <w:rPr>
                      <w:szCs w:val="21"/>
                    </w:rPr>
                  </w:pPr>
                  <w:r>
                    <w:rPr>
                      <w:rFonts w:hint="eastAsia" w:ascii="宋体" w:hAnsi="宋体" w:cs="宋体"/>
                      <w:szCs w:val="21"/>
                    </w:rPr>
                    <w:t>Ⅲ</w:t>
                  </w:r>
                </w:p>
              </w:tc>
              <w:tc>
                <w:tcPr>
                  <w:tcW w:w="627" w:type="pct"/>
                  <w:vAlign w:val="center"/>
                </w:tcPr>
                <w:p>
                  <w:pPr>
                    <w:adjustRightInd w:val="0"/>
                    <w:snapToGrid w:val="0"/>
                    <w:jc w:val="center"/>
                    <w:rPr>
                      <w:szCs w:val="21"/>
                    </w:rPr>
                  </w:pPr>
                  <w:r>
                    <w:rPr>
                      <w:szCs w:val="21"/>
                    </w:rPr>
                    <w:t>6～9</w:t>
                  </w:r>
                </w:p>
              </w:tc>
              <w:tc>
                <w:tcPr>
                  <w:tcW w:w="549" w:type="pct"/>
                  <w:vAlign w:val="center"/>
                </w:tcPr>
                <w:p>
                  <w:pPr>
                    <w:adjustRightInd w:val="0"/>
                    <w:snapToGrid w:val="0"/>
                    <w:jc w:val="center"/>
                    <w:rPr>
                      <w:szCs w:val="21"/>
                    </w:rPr>
                  </w:pPr>
                  <w:r>
                    <w:rPr>
                      <w:szCs w:val="21"/>
                    </w:rPr>
                    <w:t>≤</w:t>
                  </w:r>
                  <w:r>
                    <w:rPr>
                      <w:rFonts w:hint="eastAsia"/>
                      <w:szCs w:val="21"/>
                    </w:rPr>
                    <w:t>3</w:t>
                  </w:r>
                  <w:r>
                    <w:rPr>
                      <w:szCs w:val="21"/>
                    </w:rPr>
                    <w:t>0</w:t>
                  </w:r>
                </w:p>
              </w:tc>
              <w:tc>
                <w:tcPr>
                  <w:tcW w:w="548" w:type="pct"/>
                  <w:vAlign w:val="center"/>
                </w:tcPr>
                <w:p>
                  <w:pPr>
                    <w:adjustRightInd w:val="0"/>
                    <w:snapToGrid w:val="0"/>
                    <w:jc w:val="center"/>
                    <w:rPr>
                      <w:szCs w:val="21"/>
                    </w:rPr>
                  </w:pPr>
                  <w:r>
                    <w:rPr>
                      <w:szCs w:val="21"/>
                    </w:rPr>
                    <w:t>≤</w:t>
                  </w:r>
                  <w:r>
                    <w:rPr>
                      <w:rFonts w:hint="eastAsia"/>
                      <w:szCs w:val="21"/>
                    </w:rPr>
                    <w:t>4</w:t>
                  </w:r>
                </w:p>
              </w:tc>
              <w:tc>
                <w:tcPr>
                  <w:tcW w:w="627" w:type="pct"/>
                  <w:vAlign w:val="center"/>
                </w:tcPr>
                <w:p>
                  <w:pPr>
                    <w:adjustRightInd w:val="0"/>
                    <w:snapToGrid w:val="0"/>
                    <w:jc w:val="center"/>
                    <w:rPr>
                      <w:szCs w:val="21"/>
                    </w:rPr>
                  </w:pPr>
                  <w:r>
                    <w:rPr>
                      <w:szCs w:val="21"/>
                    </w:rPr>
                    <w:t>≤1.</w:t>
                  </w:r>
                  <w:r>
                    <w:rPr>
                      <w:rFonts w:hint="eastAsia"/>
                      <w:szCs w:val="21"/>
                    </w:rPr>
                    <w:t>0</w:t>
                  </w:r>
                </w:p>
              </w:tc>
              <w:tc>
                <w:tcPr>
                  <w:tcW w:w="627" w:type="pct"/>
                  <w:vAlign w:val="center"/>
                </w:tcPr>
                <w:p>
                  <w:pPr>
                    <w:jc w:val="center"/>
                    <w:rPr>
                      <w:szCs w:val="21"/>
                    </w:rPr>
                  </w:pPr>
                  <w:r>
                    <w:rPr>
                      <w:szCs w:val="21"/>
                    </w:rPr>
                    <w:t>≤0.</w:t>
                  </w:r>
                  <w:r>
                    <w:rPr>
                      <w:rFonts w:hint="eastAsia"/>
                      <w:szCs w:val="21"/>
                    </w:rPr>
                    <w:t>2</w:t>
                  </w:r>
                </w:p>
              </w:tc>
              <w:tc>
                <w:tcPr>
                  <w:tcW w:w="734" w:type="pct"/>
                  <w:vAlign w:val="center"/>
                </w:tcPr>
                <w:p>
                  <w:pPr>
                    <w:jc w:val="center"/>
                    <w:rPr>
                      <w:szCs w:val="21"/>
                    </w:rPr>
                  </w:pPr>
                  <w:r>
                    <w:rPr>
                      <w:szCs w:val="21"/>
                    </w:rPr>
                    <w:t>≤0.</w:t>
                  </w:r>
                  <w:r>
                    <w:rPr>
                      <w:rFonts w:hint="eastAsia"/>
                      <w:szCs w:val="21"/>
                    </w:rPr>
                    <w:t>0</w:t>
                  </w:r>
                  <w:r>
                    <w:rPr>
                      <w:szCs w:val="21"/>
                    </w:rPr>
                    <w:t>5</w:t>
                  </w:r>
                </w:p>
              </w:tc>
              <w:tc>
                <w:tcPr>
                  <w:tcW w:w="734" w:type="pct"/>
                  <w:vAlign w:val="center"/>
                </w:tcPr>
                <w:p>
                  <w:pPr>
                    <w:jc w:val="center"/>
                    <w:rPr>
                      <w:rFonts w:hint="default" w:eastAsia="宋体"/>
                      <w:szCs w:val="21"/>
                      <w:lang w:val="en-US" w:eastAsia="zh-CN"/>
                    </w:rPr>
                  </w:pPr>
                  <w:r>
                    <w:rPr>
                      <w:rFonts w:hint="eastAsia"/>
                      <w:szCs w:val="21"/>
                      <w:lang w:eastAsia="zh-CN"/>
                    </w:rPr>
                    <w:t>≤</w:t>
                  </w:r>
                  <w:r>
                    <w:rPr>
                      <w:rFonts w:hint="eastAsia"/>
                      <w:szCs w:val="21"/>
                      <w:lang w:val="en-US" w:eastAsia="zh-CN"/>
                    </w:rPr>
                    <w:t>30</w:t>
                  </w:r>
                </w:p>
              </w:tc>
            </w:tr>
          </w:tbl>
          <w:p>
            <w:pPr>
              <w:pStyle w:val="11"/>
              <w:spacing w:beforeLines="50" w:line="360" w:lineRule="auto"/>
              <w:ind w:firstLine="480"/>
              <w:rPr>
                <w:sz w:val="24"/>
              </w:rPr>
            </w:pPr>
            <w:r>
              <w:rPr>
                <w:sz w:val="24"/>
              </w:rPr>
              <w:t>3、声环境质量标准</w:t>
            </w:r>
          </w:p>
          <w:p>
            <w:pPr>
              <w:spacing w:line="360" w:lineRule="auto"/>
              <w:ind w:firstLine="480" w:firstLineChars="200"/>
              <w:rPr>
                <w:b/>
                <w:sz w:val="24"/>
                <w:szCs w:val="24"/>
              </w:rPr>
            </w:pPr>
            <w:r>
              <w:rPr>
                <w:sz w:val="24"/>
              </w:rPr>
              <w:t>本项目区域声环境执行《声环境质量标准》（GB3096-2008）中的</w:t>
            </w:r>
            <w:r>
              <w:rPr>
                <w:rFonts w:hint="eastAsia"/>
                <w:sz w:val="24"/>
              </w:rPr>
              <w:t>2</w:t>
            </w:r>
            <w:r>
              <w:rPr>
                <w:sz w:val="24"/>
              </w:rPr>
              <w:t>类标准。具体标准限值见表4-3。</w:t>
            </w:r>
          </w:p>
          <w:p>
            <w:pPr>
              <w:jc w:val="center"/>
              <w:rPr>
                <w:b/>
                <w:sz w:val="24"/>
                <w:szCs w:val="24"/>
              </w:rPr>
            </w:pPr>
            <w:r>
              <w:rPr>
                <w:b/>
                <w:sz w:val="24"/>
                <w:szCs w:val="24"/>
              </w:rPr>
              <w:t xml:space="preserve">表4-3 </w:t>
            </w:r>
            <w:r>
              <w:rPr>
                <w:rFonts w:hint="eastAsia"/>
                <w:b/>
                <w:sz w:val="24"/>
                <w:szCs w:val="24"/>
              </w:rPr>
              <w:t xml:space="preserve">  </w:t>
            </w:r>
            <w:r>
              <w:rPr>
                <w:b/>
                <w:sz w:val="24"/>
                <w:szCs w:val="24"/>
              </w:rPr>
              <w:t>声环境质量标准限值（等效声级 LAeq:dB）</w:t>
            </w:r>
          </w:p>
          <w:tbl>
            <w:tblPr>
              <w:tblStyle w:val="33"/>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551"/>
              <w:gridCol w:w="2912"/>
              <w:gridCol w:w="22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2551" w:type="dxa"/>
                  <w:vAlign w:val="center"/>
                </w:tcPr>
                <w:p>
                  <w:pPr>
                    <w:adjustRightInd w:val="0"/>
                    <w:snapToGrid w:val="0"/>
                    <w:jc w:val="center"/>
                    <w:rPr>
                      <w:b/>
                    </w:rPr>
                  </w:pPr>
                  <w:r>
                    <w:rPr>
                      <w:b/>
                    </w:rPr>
                    <w:t>类别</w:t>
                  </w:r>
                </w:p>
              </w:tc>
              <w:tc>
                <w:tcPr>
                  <w:tcW w:w="2912" w:type="dxa"/>
                  <w:vAlign w:val="center"/>
                </w:tcPr>
                <w:p>
                  <w:pPr>
                    <w:adjustRightInd w:val="0"/>
                    <w:snapToGrid w:val="0"/>
                    <w:jc w:val="center"/>
                    <w:rPr>
                      <w:b/>
                    </w:rPr>
                  </w:pPr>
                  <w:r>
                    <w:rPr>
                      <w:b/>
                    </w:rPr>
                    <w:t>昼间dB</w:t>
                  </w:r>
                  <w:r>
                    <w:rPr>
                      <w:rFonts w:ascii="宋体" w:hAnsi="宋体"/>
                      <w:b/>
                    </w:rPr>
                    <w:t>(</w:t>
                  </w:r>
                  <w:r>
                    <w:rPr>
                      <w:b/>
                    </w:rPr>
                    <w:t>A</w:t>
                  </w:r>
                  <w:r>
                    <w:rPr>
                      <w:rFonts w:ascii="宋体" w:hAnsi="宋体"/>
                      <w:b/>
                    </w:rPr>
                    <w:t>)</w:t>
                  </w:r>
                </w:p>
              </w:tc>
              <w:tc>
                <w:tcPr>
                  <w:tcW w:w="2244" w:type="dxa"/>
                  <w:vAlign w:val="center"/>
                </w:tcPr>
                <w:p>
                  <w:pPr>
                    <w:adjustRightInd w:val="0"/>
                    <w:snapToGrid w:val="0"/>
                    <w:jc w:val="center"/>
                    <w:rPr>
                      <w:b/>
                    </w:rPr>
                  </w:pPr>
                  <w:r>
                    <w:rPr>
                      <w:b/>
                    </w:rPr>
                    <w:t>夜间dB</w:t>
                  </w:r>
                  <w:r>
                    <w:rPr>
                      <w:rFonts w:ascii="宋体" w:hAnsi="宋体"/>
                      <w:b/>
                    </w:rPr>
                    <w:t>(</w:t>
                  </w:r>
                  <w:r>
                    <w:rPr>
                      <w:b/>
                    </w:rPr>
                    <w:t>A</w:t>
                  </w:r>
                  <w:r>
                    <w:rPr>
                      <w:rFonts w:ascii="宋体" w:hAnsi="宋体"/>
                      <w:b/>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551" w:type="dxa"/>
                  <w:vAlign w:val="center"/>
                </w:tcPr>
                <w:p>
                  <w:pPr>
                    <w:adjustRightInd w:val="0"/>
                    <w:snapToGrid w:val="0"/>
                    <w:jc w:val="center"/>
                  </w:pPr>
                  <w:r>
                    <w:rPr>
                      <w:rFonts w:hint="eastAsia"/>
                    </w:rPr>
                    <w:t>2</w:t>
                  </w:r>
                </w:p>
              </w:tc>
              <w:tc>
                <w:tcPr>
                  <w:tcW w:w="2912" w:type="dxa"/>
                  <w:vAlign w:val="center"/>
                </w:tcPr>
                <w:p>
                  <w:pPr>
                    <w:adjustRightInd w:val="0"/>
                    <w:snapToGrid w:val="0"/>
                    <w:jc w:val="center"/>
                  </w:pPr>
                  <w:r>
                    <w:rPr>
                      <w:rFonts w:hint="eastAsia"/>
                    </w:rPr>
                    <w:t>60</w:t>
                  </w:r>
                </w:p>
              </w:tc>
              <w:tc>
                <w:tcPr>
                  <w:tcW w:w="2244" w:type="dxa"/>
                  <w:vAlign w:val="center"/>
                </w:tcPr>
                <w:p>
                  <w:pPr>
                    <w:adjustRightInd w:val="0"/>
                    <w:snapToGrid w:val="0"/>
                    <w:jc w:val="center"/>
                  </w:pPr>
                  <w:r>
                    <w:rPr>
                      <w:rFonts w:hint="eastAsia"/>
                    </w:rPr>
                    <w:t>50</w:t>
                  </w:r>
                </w:p>
              </w:tc>
            </w:tr>
          </w:tbl>
          <w:p>
            <w:pPr>
              <w:spacing w:line="360" w:lineRule="auto"/>
              <w:ind w:firstLine="48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0" w:hRule="atLeast"/>
        </w:trPr>
        <w:tc>
          <w:tcPr>
            <w:tcW w:w="456" w:type="dxa"/>
          </w:tcPr>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r>
              <w:rPr>
                <w:sz w:val="24"/>
              </w:rPr>
              <w:t>污</w:t>
            </w:r>
          </w:p>
          <w:p>
            <w:pPr>
              <w:spacing w:line="360" w:lineRule="auto"/>
              <w:jc w:val="center"/>
              <w:rPr>
                <w:sz w:val="24"/>
              </w:rPr>
            </w:pPr>
            <w:r>
              <w:rPr>
                <w:sz w:val="24"/>
              </w:rPr>
              <w:t>染</w:t>
            </w:r>
          </w:p>
          <w:p>
            <w:pPr>
              <w:spacing w:line="360" w:lineRule="auto"/>
              <w:jc w:val="center"/>
              <w:rPr>
                <w:sz w:val="24"/>
              </w:rPr>
            </w:pPr>
            <w:r>
              <w:rPr>
                <w:sz w:val="24"/>
              </w:rPr>
              <w:t>物</w:t>
            </w:r>
          </w:p>
          <w:p>
            <w:pPr>
              <w:spacing w:line="360" w:lineRule="auto"/>
              <w:jc w:val="center"/>
              <w:rPr>
                <w:sz w:val="24"/>
              </w:rPr>
            </w:pPr>
            <w:r>
              <w:rPr>
                <w:sz w:val="24"/>
              </w:rPr>
              <w:t>排</w:t>
            </w:r>
          </w:p>
          <w:p>
            <w:pPr>
              <w:spacing w:line="360" w:lineRule="auto"/>
              <w:jc w:val="center"/>
              <w:rPr>
                <w:sz w:val="24"/>
              </w:rPr>
            </w:pPr>
            <w:r>
              <w:rPr>
                <w:sz w:val="24"/>
              </w:rPr>
              <w:t>放</w:t>
            </w:r>
          </w:p>
          <w:p>
            <w:pPr>
              <w:spacing w:line="360" w:lineRule="auto"/>
              <w:jc w:val="center"/>
              <w:rPr>
                <w:sz w:val="24"/>
              </w:rPr>
            </w:pPr>
            <w:r>
              <w:rPr>
                <w:sz w:val="24"/>
              </w:rPr>
              <w:t>标</w:t>
            </w:r>
          </w:p>
          <w:p>
            <w:pPr>
              <w:spacing w:line="360" w:lineRule="auto"/>
              <w:jc w:val="center"/>
              <w:rPr>
                <w:sz w:val="24"/>
              </w:rPr>
            </w:pPr>
            <w:r>
              <w:rPr>
                <w:sz w:val="24"/>
              </w:rPr>
              <w:t>准</w:t>
            </w:r>
          </w:p>
        </w:tc>
        <w:tc>
          <w:tcPr>
            <w:tcW w:w="7923" w:type="dxa"/>
          </w:tcPr>
          <w:p>
            <w:pPr>
              <w:pStyle w:val="11"/>
              <w:spacing w:line="360" w:lineRule="auto"/>
              <w:ind w:firstLine="480"/>
              <w:rPr>
                <w:sz w:val="24"/>
              </w:rPr>
            </w:pPr>
            <w:r>
              <w:rPr>
                <w:sz w:val="24"/>
              </w:rPr>
              <w:t>1、废气排放标准</w:t>
            </w:r>
          </w:p>
          <w:p>
            <w:pPr>
              <w:spacing w:line="360" w:lineRule="auto"/>
              <w:ind w:firstLine="480" w:firstLineChars="200"/>
              <w:rPr>
                <w:sz w:val="24"/>
                <w:szCs w:val="24"/>
                <w:vertAlign w:val="subscript"/>
              </w:rPr>
            </w:pPr>
            <w:r>
              <w:rPr>
                <w:rFonts w:hint="eastAsia"/>
                <w:sz w:val="24"/>
              </w:rPr>
              <w:t>建设项目产生废气中粉尘执行《大气污染物综合排放标准》（</w:t>
            </w:r>
            <w:r>
              <w:rPr>
                <w:sz w:val="24"/>
              </w:rPr>
              <w:t>GB16297-1996</w:t>
            </w:r>
            <w:r>
              <w:rPr>
                <w:rFonts w:hint="eastAsia"/>
                <w:sz w:val="24"/>
              </w:rPr>
              <w:t>）表</w:t>
            </w:r>
            <w:r>
              <w:rPr>
                <w:sz w:val="24"/>
              </w:rPr>
              <w:t>2</w:t>
            </w:r>
            <w:r>
              <w:rPr>
                <w:rFonts w:hint="eastAsia"/>
                <w:sz w:val="24"/>
              </w:rPr>
              <w:t>中排放标准，具体标准见表</w:t>
            </w:r>
            <w:r>
              <w:rPr>
                <w:sz w:val="24"/>
              </w:rPr>
              <w:t>4-</w:t>
            </w:r>
            <w:r>
              <w:rPr>
                <w:rFonts w:hint="eastAsia"/>
                <w:sz w:val="24"/>
              </w:rPr>
              <w:t>4</w:t>
            </w:r>
            <w:r>
              <w:rPr>
                <w:rFonts w:hAnsi="宋体"/>
                <w:sz w:val="24"/>
                <w:szCs w:val="24"/>
              </w:rPr>
              <w:t>。</w:t>
            </w:r>
          </w:p>
          <w:p>
            <w:pPr>
              <w:snapToGrid w:val="0"/>
              <w:jc w:val="center"/>
              <w:rPr>
                <w:rFonts w:hAnsi="宋体"/>
                <w:b/>
                <w:sz w:val="24"/>
                <w:szCs w:val="24"/>
              </w:rPr>
            </w:pPr>
            <w:r>
              <w:rPr>
                <w:rFonts w:hAnsi="宋体"/>
                <w:b/>
                <w:sz w:val="24"/>
                <w:szCs w:val="24"/>
              </w:rPr>
              <w:t>表</w:t>
            </w:r>
            <w:r>
              <w:rPr>
                <w:rFonts w:hint="eastAsia"/>
                <w:b/>
                <w:sz w:val="24"/>
                <w:szCs w:val="24"/>
              </w:rPr>
              <w:t>4-</w:t>
            </w:r>
            <w:r>
              <w:rPr>
                <w:b/>
                <w:sz w:val="24"/>
                <w:szCs w:val="24"/>
              </w:rPr>
              <w:t>4</w:t>
            </w:r>
            <w:r>
              <w:rPr>
                <w:rFonts w:hint="eastAsia"/>
                <w:b/>
                <w:sz w:val="24"/>
                <w:szCs w:val="24"/>
              </w:rPr>
              <w:t xml:space="preserve">  </w:t>
            </w:r>
            <w:r>
              <w:rPr>
                <w:rFonts w:hAnsi="宋体"/>
                <w:b/>
                <w:sz w:val="24"/>
                <w:szCs w:val="24"/>
              </w:rPr>
              <w:t>大气污染物排放标准</w:t>
            </w:r>
          </w:p>
          <w:tbl>
            <w:tblPr>
              <w:tblStyle w:val="33"/>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093"/>
              <w:gridCol w:w="1273"/>
              <w:gridCol w:w="1372"/>
              <w:gridCol w:w="1037"/>
              <w:gridCol w:w="1746"/>
              <w:gridCol w:w="11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20" w:hRule="atLeast"/>
                <w:jc w:val="center"/>
              </w:trPr>
              <w:tc>
                <w:tcPr>
                  <w:tcW w:w="709" w:type="pct"/>
                  <w:vMerge w:val="restart"/>
                  <w:vAlign w:val="center"/>
                </w:tcPr>
                <w:p>
                  <w:pPr>
                    <w:snapToGrid w:val="0"/>
                    <w:jc w:val="center"/>
                    <w:rPr>
                      <w:b/>
                      <w:szCs w:val="21"/>
                    </w:rPr>
                  </w:pPr>
                  <w:r>
                    <w:rPr>
                      <w:rFonts w:hint="eastAsia"/>
                      <w:b/>
                      <w:szCs w:val="21"/>
                    </w:rPr>
                    <w:t>污染物</w:t>
                  </w:r>
                  <w:r>
                    <w:rPr>
                      <w:b/>
                      <w:szCs w:val="21"/>
                    </w:rPr>
                    <w:t>名称</w:t>
                  </w:r>
                </w:p>
              </w:tc>
              <w:tc>
                <w:tcPr>
                  <w:tcW w:w="826" w:type="pct"/>
                  <w:vMerge w:val="restart"/>
                  <w:vAlign w:val="center"/>
                </w:tcPr>
                <w:p>
                  <w:pPr>
                    <w:snapToGrid w:val="0"/>
                    <w:jc w:val="center"/>
                    <w:rPr>
                      <w:b/>
                      <w:szCs w:val="21"/>
                    </w:rPr>
                  </w:pPr>
                  <w:r>
                    <w:rPr>
                      <w:b/>
                      <w:szCs w:val="21"/>
                    </w:rPr>
                    <w:t>最高允许排放浓度（mg/m</w:t>
                  </w:r>
                  <w:r>
                    <w:rPr>
                      <w:b/>
                      <w:szCs w:val="21"/>
                      <w:vertAlign w:val="superscript"/>
                    </w:rPr>
                    <w:t>3</w:t>
                  </w:r>
                  <w:r>
                    <w:rPr>
                      <w:b/>
                      <w:szCs w:val="21"/>
                    </w:rPr>
                    <w:t>）</w:t>
                  </w:r>
                </w:p>
              </w:tc>
              <w:tc>
                <w:tcPr>
                  <w:tcW w:w="1563" w:type="pct"/>
                  <w:gridSpan w:val="2"/>
                  <w:vAlign w:val="center"/>
                </w:tcPr>
                <w:p>
                  <w:pPr>
                    <w:snapToGrid w:val="0"/>
                    <w:jc w:val="center"/>
                    <w:rPr>
                      <w:b/>
                      <w:szCs w:val="21"/>
                    </w:rPr>
                  </w:pPr>
                  <w:r>
                    <w:rPr>
                      <w:rFonts w:hAnsi="宋体"/>
                      <w:b/>
                      <w:szCs w:val="21"/>
                    </w:rPr>
                    <w:t>最高允许排放速率（</w:t>
                  </w:r>
                  <w:r>
                    <w:rPr>
                      <w:b/>
                      <w:szCs w:val="21"/>
                    </w:rPr>
                    <w:t>kg/h</w:t>
                  </w:r>
                  <w:r>
                    <w:rPr>
                      <w:rFonts w:hAnsi="宋体"/>
                      <w:b/>
                      <w:szCs w:val="21"/>
                    </w:rPr>
                    <w:t>）</w:t>
                  </w:r>
                </w:p>
              </w:tc>
              <w:tc>
                <w:tcPr>
                  <w:tcW w:w="1900" w:type="pct"/>
                  <w:gridSpan w:val="2"/>
                  <w:vAlign w:val="center"/>
                </w:tcPr>
                <w:p>
                  <w:pPr>
                    <w:snapToGrid w:val="0"/>
                    <w:jc w:val="center"/>
                    <w:rPr>
                      <w:rFonts w:hAnsi="宋体"/>
                      <w:b/>
                      <w:szCs w:val="21"/>
                    </w:rPr>
                  </w:pPr>
                  <w:r>
                    <w:rPr>
                      <w:rFonts w:hint="eastAsia" w:hAnsi="宋体"/>
                      <w:b/>
                      <w:szCs w:val="21"/>
                    </w:rPr>
                    <w:t>无组织排放监控浓度限值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20" w:hRule="atLeast"/>
                <w:jc w:val="center"/>
              </w:trPr>
              <w:tc>
                <w:tcPr>
                  <w:tcW w:w="709" w:type="pct"/>
                  <w:vMerge w:val="continue"/>
                  <w:vAlign w:val="center"/>
                </w:tcPr>
                <w:p>
                  <w:pPr>
                    <w:snapToGrid w:val="0"/>
                    <w:jc w:val="center"/>
                    <w:rPr>
                      <w:szCs w:val="21"/>
                    </w:rPr>
                  </w:pPr>
                </w:p>
              </w:tc>
              <w:tc>
                <w:tcPr>
                  <w:tcW w:w="826" w:type="pct"/>
                  <w:vMerge w:val="continue"/>
                  <w:vAlign w:val="center"/>
                </w:tcPr>
                <w:p>
                  <w:pPr>
                    <w:snapToGrid w:val="0"/>
                    <w:jc w:val="center"/>
                    <w:rPr>
                      <w:szCs w:val="21"/>
                    </w:rPr>
                  </w:pPr>
                </w:p>
              </w:tc>
              <w:tc>
                <w:tcPr>
                  <w:tcW w:w="890" w:type="pct"/>
                  <w:vAlign w:val="center"/>
                </w:tcPr>
                <w:p>
                  <w:pPr>
                    <w:snapToGrid w:val="0"/>
                    <w:jc w:val="center"/>
                    <w:rPr>
                      <w:b/>
                      <w:szCs w:val="21"/>
                    </w:rPr>
                  </w:pPr>
                  <w:r>
                    <w:rPr>
                      <w:rFonts w:hAnsi="宋体"/>
                      <w:b/>
                      <w:szCs w:val="21"/>
                    </w:rPr>
                    <w:t>排气筒（</w:t>
                  </w:r>
                  <w:r>
                    <w:rPr>
                      <w:b/>
                      <w:szCs w:val="21"/>
                    </w:rPr>
                    <w:t>m</w:t>
                  </w:r>
                  <w:r>
                    <w:rPr>
                      <w:rFonts w:hAnsi="宋体"/>
                      <w:b/>
                      <w:szCs w:val="21"/>
                    </w:rPr>
                    <w:t>）</w:t>
                  </w:r>
                </w:p>
              </w:tc>
              <w:tc>
                <w:tcPr>
                  <w:tcW w:w="672" w:type="pct"/>
                  <w:vAlign w:val="center"/>
                </w:tcPr>
                <w:p>
                  <w:pPr>
                    <w:snapToGrid w:val="0"/>
                    <w:jc w:val="center"/>
                    <w:rPr>
                      <w:b/>
                      <w:szCs w:val="21"/>
                    </w:rPr>
                  </w:pPr>
                  <w:r>
                    <w:rPr>
                      <w:rFonts w:hAnsi="宋体"/>
                      <w:b/>
                      <w:szCs w:val="21"/>
                    </w:rPr>
                    <w:t>二级</w:t>
                  </w:r>
                </w:p>
              </w:tc>
              <w:tc>
                <w:tcPr>
                  <w:tcW w:w="1133" w:type="pct"/>
                  <w:vAlign w:val="center"/>
                </w:tcPr>
                <w:p>
                  <w:pPr>
                    <w:snapToGrid w:val="0"/>
                    <w:jc w:val="center"/>
                    <w:rPr>
                      <w:szCs w:val="21"/>
                    </w:rPr>
                  </w:pPr>
                  <w:r>
                    <w:rPr>
                      <w:rFonts w:hint="eastAsia"/>
                      <w:b/>
                      <w:szCs w:val="21"/>
                    </w:rPr>
                    <w:t>监控点</w:t>
                  </w:r>
                </w:p>
              </w:tc>
              <w:tc>
                <w:tcPr>
                  <w:tcW w:w="767" w:type="pct"/>
                  <w:vAlign w:val="center"/>
                </w:tcPr>
                <w:p>
                  <w:pPr>
                    <w:snapToGrid w:val="0"/>
                    <w:jc w:val="center"/>
                    <w:rPr>
                      <w:szCs w:val="21"/>
                    </w:rPr>
                  </w:pPr>
                  <w:r>
                    <w:rPr>
                      <w:rFonts w:hint="eastAsia"/>
                      <w:b/>
                      <w:szCs w:val="21"/>
                    </w:rPr>
                    <w:t>浓度</w:t>
                  </w:r>
                  <w:r>
                    <w:rPr>
                      <w:b/>
                      <w:szCs w:val="21"/>
                    </w:rPr>
                    <w:t>mg/m</w:t>
                  </w:r>
                  <w:r>
                    <w:rPr>
                      <w:b/>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20" w:hRule="atLeast"/>
                <w:jc w:val="center"/>
              </w:trPr>
              <w:tc>
                <w:tcPr>
                  <w:tcW w:w="709" w:type="pct"/>
                  <w:vAlign w:val="center"/>
                </w:tcPr>
                <w:p>
                  <w:pPr>
                    <w:snapToGrid w:val="0"/>
                    <w:jc w:val="center"/>
                    <w:rPr>
                      <w:szCs w:val="21"/>
                    </w:rPr>
                  </w:pPr>
                  <w:r>
                    <w:rPr>
                      <w:rFonts w:hint="eastAsia"/>
                      <w:szCs w:val="21"/>
                    </w:rPr>
                    <w:t>颗粒物</w:t>
                  </w:r>
                </w:p>
              </w:tc>
              <w:tc>
                <w:tcPr>
                  <w:tcW w:w="826" w:type="pct"/>
                  <w:vAlign w:val="center"/>
                </w:tcPr>
                <w:p>
                  <w:pPr>
                    <w:snapToGrid w:val="0"/>
                    <w:jc w:val="center"/>
                    <w:rPr>
                      <w:szCs w:val="21"/>
                    </w:rPr>
                  </w:pPr>
                  <w:r>
                    <w:rPr>
                      <w:rFonts w:hint="eastAsia"/>
                      <w:szCs w:val="21"/>
                    </w:rPr>
                    <w:t>120</w:t>
                  </w:r>
                </w:p>
              </w:tc>
              <w:tc>
                <w:tcPr>
                  <w:tcW w:w="890" w:type="pct"/>
                  <w:vAlign w:val="center"/>
                </w:tcPr>
                <w:p>
                  <w:pPr>
                    <w:snapToGrid w:val="0"/>
                    <w:jc w:val="center"/>
                    <w:rPr>
                      <w:szCs w:val="21"/>
                    </w:rPr>
                  </w:pPr>
                  <w:r>
                    <w:rPr>
                      <w:rFonts w:hint="eastAsia"/>
                      <w:szCs w:val="21"/>
                    </w:rPr>
                    <w:t>15</w:t>
                  </w:r>
                </w:p>
              </w:tc>
              <w:tc>
                <w:tcPr>
                  <w:tcW w:w="672" w:type="pct"/>
                  <w:vAlign w:val="center"/>
                </w:tcPr>
                <w:p>
                  <w:pPr>
                    <w:snapToGrid w:val="0"/>
                    <w:jc w:val="center"/>
                    <w:rPr>
                      <w:szCs w:val="21"/>
                    </w:rPr>
                  </w:pPr>
                  <w:r>
                    <w:rPr>
                      <w:rFonts w:hint="eastAsia"/>
                      <w:szCs w:val="21"/>
                    </w:rPr>
                    <w:t>3.5</w:t>
                  </w:r>
                </w:p>
              </w:tc>
              <w:tc>
                <w:tcPr>
                  <w:tcW w:w="1133" w:type="pct"/>
                  <w:vAlign w:val="center"/>
                </w:tcPr>
                <w:p>
                  <w:pPr>
                    <w:snapToGrid w:val="0"/>
                    <w:jc w:val="center"/>
                  </w:pPr>
                  <w:r>
                    <w:rPr>
                      <w:rFonts w:hint="eastAsia"/>
                    </w:rPr>
                    <w:t>周界外浓度最高点</w:t>
                  </w:r>
                </w:p>
              </w:tc>
              <w:tc>
                <w:tcPr>
                  <w:tcW w:w="767" w:type="pct"/>
                  <w:vAlign w:val="center"/>
                </w:tcPr>
                <w:p>
                  <w:pPr>
                    <w:snapToGrid w:val="0"/>
                    <w:jc w:val="center"/>
                  </w:pPr>
                  <w:r>
                    <w:t>1.0</w:t>
                  </w:r>
                </w:p>
              </w:tc>
            </w:tr>
          </w:tbl>
          <w:p>
            <w:pPr>
              <w:pStyle w:val="11"/>
              <w:spacing w:beforeLines="50" w:line="360" w:lineRule="auto"/>
              <w:ind w:firstLine="480"/>
              <w:rPr>
                <w:sz w:val="24"/>
              </w:rPr>
            </w:pPr>
            <w:r>
              <w:rPr>
                <w:sz w:val="24"/>
              </w:rPr>
              <w:t>2、水污染物排放标准</w:t>
            </w:r>
          </w:p>
          <w:p>
            <w:pPr>
              <w:spacing w:line="360" w:lineRule="auto"/>
              <w:ind w:firstLine="480" w:firstLineChars="200"/>
              <w:rPr>
                <w:sz w:val="24"/>
                <w:szCs w:val="24"/>
              </w:rPr>
            </w:pPr>
            <w:r>
              <w:rPr>
                <w:sz w:val="24"/>
                <w:szCs w:val="24"/>
              </w:rPr>
              <w:t>建设项目废水</w:t>
            </w:r>
            <w:r>
              <w:rPr>
                <w:rFonts w:hint="eastAsia"/>
                <w:sz w:val="24"/>
                <w:szCs w:val="24"/>
              </w:rPr>
              <w:t>主要</w:t>
            </w:r>
            <w:r>
              <w:rPr>
                <w:sz w:val="24"/>
                <w:szCs w:val="24"/>
              </w:rPr>
              <w:t>为生活污水</w:t>
            </w:r>
            <w:r>
              <w:rPr>
                <w:rFonts w:hint="eastAsia"/>
                <w:sz w:val="24"/>
                <w:szCs w:val="24"/>
              </w:rPr>
              <w:t>。</w:t>
            </w:r>
            <w:r>
              <w:rPr>
                <w:sz w:val="24"/>
                <w:szCs w:val="24"/>
              </w:rPr>
              <w:t>生活污水</w:t>
            </w:r>
            <w:r>
              <w:rPr>
                <w:rFonts w:hint="eastAsia"/>
                <w:sz w:val="24"/>
                <w:szCs w:val="24"/>
              </w:rPr>
              <w:t>经</w:t>
            </w:r>
            <w:r>
              <w:rPr>
                <w:sz w:val="24"/>
                <w:szCs w:val="24"/>
              </w:rPr>
              <w:t>地埋式污水处理设施处理，达到</w:t>
            </w:r>
            <w:r>
              <w:rPr>
                <w:rFonts w:hint="eastAsia"/>
                <w:sz w:val="24"/>
                <w:szCs w:val="24"/>
              </w:rPr>
              <w:t>《城市污水再生利用绿地灌溉水质》（GB/T 25499-2010）</w:t>
            </w:r>
            <w:r>
              <w:rPr>
                <w:sz w:val="24"/>
                <w:szCs w:val="24"/>
              </w:rPr>
              <w:t>中城市绿化水质标准，</w:t>
            </w:r>
            <w:r>
              <w:rPr>
                <w:rFonts w:hint="eastAsia"/>
                <w:sz w:val="24"/>
                <w:szCs w:val="24"/>
              </w:rPr>
              <w:t>回</w:t>
            </w:r>
            <w:r>
              <w:rPr>
                <w:sz w:val="24"/>
                <w:szCs w:val="24"/>
              </w:rPr>
              <w:t>用于厂区绿化</w:t>
            </w:r>
            <w:r>
              <w:rPr>
                <w:rFonts w:hint="eastAsia"/>
                <w:sz w:val="24"/>
                <w:szCs w:val="24"/>
              </w:rPr>
              <w:t>，</w:t>
            </w:r>
            <w:r>
              <w:rPr>
                <w:sz w:val="24"/>
                <w:szCs w:val="24"/>
              </w:rPr>
              <w:t>不外排。</w:t>
            </w:r>
          </w:p>
          <w:p>
            <w:pPr>
              <w:adjustRightInd w:val="0"/>
              <w:snapToGrid w:val="0"/>
              <w:jc w:val="center"/>
              <w:rPr>
                <w:b/>
                <w:sz w:val="24"/>
                <w:szCs w:val="24"/>
              </w:rPr>
            </w:pPr>
            <w:r>
              <w:rPr>
                <w:b/>
                <w:sz w:val="24"/>
                <w:szCs w:val="24"/>
              </w:rPr>
              <w:t>表</w:t>
            </w:r>
            <w:r>
              <w:rPr>
                <w:rFonts w:hint="eastAsia"/>
                <w:b/>
                <w:sz w:val="24"/>
                <w:szCs w:val="24"/>
              </w:rPr>
              <w:t xml:space="preserve">4-5  </w:t>
            </w:r>
            <w:r>
              <w:rPr>
                <w:b/>
                <w:sz w:val="24"/>
                <w:szCs w:val="24"/>
              </w:rPr>
              <w:t>城市绿化水质标准</w:t>
            </w:r>
          </w:p>
          <w:tbl>
            <w:tblPr>
              <w:tblStyle w:val="33"/>
              <w:tblW w:w="4994" w:type="pct"/>
              <w:jc w:val="center"/>
              <w:tblBorders>
                <w:top w:val="single" w:color="auto" w:sz="2" w:space="0"/>
                <w:left w:val="none" w:color="auto" w:sz="0" w:space="0"/>
                <w:bottom w:val="single" w:color="auto" w:sz="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439"/>
              <w:gridCol w:w="2522"/>
              <w:gridCol w:w="2737"/>
            </w:tblGrid>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67" w:hRule="atLeast"/>
                <w:jc w:val="center"/>
              </w:trPr>
              <w:tc>
                <w:tcPr>
                  <w:tcW w:w="1584" w:type="pct"/>
                  <w:tcBorders>
                    <w:top w:val="single" w:color="auto" w:sz="12" w:space="0"/>
                    <w:bottom w:val="single" w:color="auto" w:sz="6" w:space="0"/>
                  </w:tcBorders>
                  <w:vAlign w:val="center"/>
                </w:tcPr>
                <w:p>
                  <w:pPr>
                    <w:adjustRightInd w:val="0"/>
                    <w:snapToGrid w:val="0"/>
                    <w:jc w:val="center"/>
                    <w:rPr>
                      <w:b/>
                      <w:szCs w:val="21"/>
                    </w:rPr>
                  </w:pPr>
                  <w:r>
                    <w:rPr>
                      <w:b/>
                      <w:szCs w:val="21"/>
                    </w:rPr>
                    <w:t>污染物名称</w:t>
                  </w:r>
                </w:p>
              </w:tc>
              <w:tc>
                <w:tcPr>
                  <w:tcW w:w="1638" w:type="pct"/>
                  <w:tcBorders>
                    <w:top w:val="single" w:color="auto" w:sz="12" w:space="0"/>
                    <w:bottom w:val="single" w:color="auto" w:sz="6" w:space="0"/>
                  </w:tcBorders>
                  <w:vAlign w:val="center"/>
                </w:tcPr>
                <w:p>
                  <w:pPr>
                    <w:adjustRightInd w:val="0"/>
                    <w:snapToGrid w:val="0"/>
                    <w:jc w:val="center"/>
                    <w:rPr>
                      <w:b/>
                      <w:szCs w:val="21"/>
                    </w:rPr>
                  </w:pPr>
                  <w:r>
                    <w:rPr>
                      <w:b/>
                      <w:szCs w:val="21"/>
                    </w:rPr>
                    <w:t>水质标准（</w:t>
                  </w:r>
                  <w:r>
                    <w:rPr>
                      <w:rFonts w:hint="eastAsia"/>
                      <w:b/>
                      <w:szCs w:val="21"/>
                    </w:rPr>
                    <w:t>m</w:t>
                  </w:r>
                  <w:r>
                    <w:rPr>
                      <w:b/>
                      <w:szCs w:val="21"/>
                    </w:rPr>
                    <w:t>g/L）</w:t>
                  </w:r>
                </w:p>
              </w:tc>
              <w:tc>
                <w:tcPr>
                  <w:tcW w:w="1778" w:type="pct"/>
                  <w:tcBorders>
                    <w:top w:val="single" w:color="auto" w:sz="12" w:space="0"/>
                    <w:bottom w:val="single" w:color="auto" w:sz="6" w:space="0"/>
                  </w:tcBorders>
                  <w:vAlign w:val="center"/>
                </w:tcPr>
                <w:p>
                  <w:pPr>
                    <w:adjustRightInd w:val="0"/>
                    <w:snapToGrid w:val="0"/>
                    <w:jc w:val="center"/>
                    <w:rPr>
                      <w:b/>
                      <w:szCs w:val="21"/>
                    </w:rPr>
                  </w:pPr>
                  <w:r>
                    <w:rPr>
                      <w:b/>
                      <w:szCs w:val="21"/>
                    </w:rPr>
                    <w:t>依据</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68" w:hRule="atLeast"/>
                <w:jc w:val="center"/>
              </w:trPr>
              <w:tc>
                <w:tcPr>
                  <w:tcW w:w="1584" w:type="pct"/>
                  <w:tcBorders>
                    <w:top w:val="single" w:color="auto" w:sz="6" w:space="0"/>
                  </w:tcBorders>
                  <w:vAlign w:val="center"/>
                </w:tcPr>
                <w:p>
                  <w:pPr>
                    <w:adjustRightInd w:val="0"/>
                    <w:snapToGrid w:val="0"/>
                    <w:jc w:val="center"/>
                    <w:rPr>
                      <w:szCs w:val="21"/>
                    </w:rPr>
                  </w:pPr>
                  <w:r>
                    <w:rPr>
                      <w:szCs w:val="21"/>
                    </w:rPr>
                    <w:t>pH</w:t>
                  </w:r>
                </w:p>
              </w:tc>
              <w:tc>
                <w:tcPr>
                  <w:tcW w:w="1638" w:type="pct"/>
                  <w:tcBorders>
                    <w:top w:val="single" w:color="auto" w:sz="6" w:space="0"/>
                  </w:tcBorders>
                  <w:vAlign w:val="center"/>
                </w:tcPr>
                <w:p>
                  <w:pPr>
                    <w:adjustRightInd w:val="0"/>
                    <w:snapToGrid w:val="0"/>
                    <w:jc w:val="center"/>
                    <w:rPr>
                      <w:szCs w:val="21"/>
                    </w:rPr>
                  </w:pPr>
                  <w:r>
                    <w:rPr>
                      <w:szCs w:val="21"/>
                    </w:rPr>
                    <w:t>6~9</w:t>
                  </w:r>
                </w:p>
              </w:tc>
              <w:tc>
                <w:tcPr>
                  <w:tcW w:w="1778" w:type="pct"/>
                  <w:vMerge w:val="restart"/>
                  <w:tcBorders>
                    <w:top w:val="single" w:color="auto" w:sz="6" w:space="0"/>
                  </w:tcBorders>
                  <w:vAlign w:val="center"/>
                </w:tcPr>
                <w:p>
                  <w:pPr>
                    <w:adjustRightInd w:val="0"/>
                    <w:snapToGrid w:val="0"/>
                    <w:jc w:val="center"/>
                    <w:rPr>
                      <w:szCs w:val="21"/>
                    </w:rPr>
                  </w:pPr>
                  <w:r>
                    <w:rPr>
                      <w:szCs w:val="21"/>
                    </w:rPr>
                    <w:t>《城市污水再生利用绿地灌溉水质》（GB/T25499-2010）</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68" w:hRule="atLeast"/>
                <w:jc w:val="center"/>
              </w:trPr>
              <w:tc>
                <w:tcPr>
                  <w:tcW w:w="1584" w:type="pct"/>
                  <w:vAlign w:val="center"/>
                </w:tcPr>
                <w:p>
                  <w:pPr>
                    <w:adjustRightInd w:val="0"/>
                    <w:snapToGrid w:val="0"/>
                    <w:jc w:val="center"/>
                    <w:rPr>
                      <w:szCs w:val="21"/>
                    </w:rPr>
                  </w:pPr>
                  <w:r>
                    <w:rPr>
                      <w:szCs w:val="21"/>
                    </w:rPr>
                    <w:t>氨氮</w:t>
                  </w:r>
                </w:p>
              </w:tc>
              <w:tc>
                <w:tcPr>
                  <w:tcW w:w="1638" w:type="pct"/>
                  <w:vAlign w:val="center"/>
                </w:tcPr>
                <w:p>
                  <w:pPr>
                    <w:adjustRightInd w:val="0"/>
                    <w:snapToGrid w:val="0"/>
                    <w:jc w:val="center"/>
                    <w:rPr>
                      <w:szCs w:val="21"/>
                    </w:rPr>
                  </w:pPr>
                  <w:r>
                    <w:rPr>
                      <w:szCs w:val="21"/>
                    </w:rPr>
                    <w:t>≤</w:t>
                  </w:r>
                  <w:r>
                    <w:rPr>
                      <w:rFonts w:hint="eastAsia"/>
                      <w:szCs w:val="21"/>
                    </w:rPr>
                    <w:t>2</w:t>
                  </w:r>
                  <w:r>
                    <w:rPr>
                      <w:szCs w:val="21"/>
                    </w:rPr>
                    <w:t>0</w:t>
                  </w:r>
                </w:p>
              </w:tc>
              <w:tc>
                <w:tcPr>
                  <w:tcW w:w="1778" w:type="pct"/>
                  <w:vMerge w:val="continue"/>
                  <w:vAlign w:val="center"/>
                </w:tcPr>
                <w:p>
                  <w:pPr>
                    <w:adjustRightInd w:val="0"/>
                    <w:snapToGrid w:val="0"/>
                    <w:jc w:val="center"/>
                    <w:rPr>
                      <w:szCs w:val="21"/>
                    </w:rPr>
                  </w:pP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68" w:hRule="atLeast"/>
                <w:jc w:val="center"/>
              </w:trPr>
              <w:tc>
                <w:tcPr>
                  <w:tcW w:w="1584" w:type="pct"/>
                  <w:vAlign w:val="center"/>
                </w:tcPr>
                <w:p>
                  <w:pPr>
                    <w:adjustRightInd w:val="0"/>
                    <w:snapToGrid w:val="0"/>
                    <w:jc w:val="center"/>
                    <w:rPr>
                      <w:szCs w:val="21"/>
                    </w:rPr>
                  </w:pPr>
                  <w:r>
                    <w:rPr>
                      <w:szCs w:val="21"/>
                    </w:rPr>
                    <w:t>色度</w:t>
                  </w:r>
                </w:p>
              </w:tc>
              <w:tc>
                <w:tcPr>
                  <w:tcW w:w="1638" w:type="pct"/>
                  <w:vAlign w:val="center"/>
                </w:tcPr>
                <w:p>
                  <w:pPr>
                    <w:adjustRightInd w:val="0"/>
                    <w:snapToGrid w:val="0"/>
                    <w:jc w:val="center"/>
                    <w:rPr>
                      <w:szCs w:val="21"/>
                    </w:rPr>
                  </w:pPr>
                  <w:r>
                    <w:rPr>
                      <w:szCs w:val="21"/>
                    </w:rPr>
                    <w:t>≤30</w:t>
                  </w:r>
                </w:p>
              </w:tc>
              <w:tc>
                <w:tcPr>
                  <w:tcW w:w="1778" w:type="pct"/>
                  <w:vMerge w:val="continue"/>
                  <w:vAlign w:val="center"/>
                </w:tcPr>
                <w:p>
                  <w:pPr>
                    <w:adjustRightInd w:val="0"/>
                    <w:snapToGrid w:val="0"/>
                    <w:jc w:val="center"/>
                    <w:rPr>
                      <w:szCs w:val="21"/>
                    </w:rPr>
                  </w:pP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68" w:hRule="atLeast"/>
                <w:jc w:val="center"/>
              </w:trPr>
              <w:tc>
                <w:tcPr>
                  <w:tcW w:w="1584" w:type="pct"/>
                  <w:tcBorders>
                    <w:top w:val="single" w:color="auto" w:sz="6" w:space="0"/>
                    <w:bottom w:val="single" w:color="auto" w:sz="12" w:space="0"/>
                  </w:tcBorders>
                  <w:vAlign w:val="center"/>
                </w:tcPr>
                <w:p>
                  <w:pPr>
                    <w:adjustRightInd w:val="0"/>
                    <w:snapToGrid w:val="0"/>
                    <w:jc w:val="center"/>
                    <w:rPr>
                      <w:szCs w:val="21"/>
                    </w:rPr>
                  </w:pPr>
                  <w:r>
                    <w:rPr>
                      <w:szCs w:val="21"/>
                    </w:rPr>
                    <w:t>五日生化需氧量（BOD</w:t>
                  </w:r>
                  <w:r>
                    <w:rPr>
                      <w:szCs w:val="21"/>
                      <w:vertAlign w:val="subscript"/>
                    </w:rPr>
                    <w:t>5</w:t>
                  </w:r>
                  <w:r>
                    <w:rPr>
                      <w:szCs w:val="21"/>
                    </w:rPr>
                    <w:t>）</w:t>
                  </w:r>
                </w:p>
              </w:tc>
              <w:tc>
                <w:tcPr>
                  <w:tcW w:w="1638" w:type="pct"/>
                  <w:tcBorders>
                    <w:top w:val="single" w:color="auto" w:sz="6" w:space="0"/>
                    <w:bottom w:val="single" w:color="auto" w:sz="12" w:space="0"/>
                  </w:tcBorders>
                  <w:vAlign w:val="center"/>
                </w:tcPr>
                <w:p>
                  <w:pPr>
                    <w:adjustRightInd w:val="0"/>
                    <w:snapToGrid w:val="0"/>
                    <w:jc w:val="center"/>
                    <w:rPr>
                      <w:szCs w:val="21"/>
                    </w:rPr>
                  </w:pPr>
                  <w:r>
                    <w:rPr>
                      <w:szCs w:val="21"/>
                    </w:rPr>
                    <w:t>≤</w:t>
                  </w:r>
                  <w:r>
                    <w:rPr>
                      <w:rFonts w:hint="eastAsia"/>
                      <w:szCs w:val="21"/>
                    </w:rPr>
                    <w:t>20</w:t>
                  </w:r>
                </w:p>
              </w:tc>
              <w:tc>
                <w:tcPr>
                  <w:tcW w:w="1778" w:type="pct"/>
                  <w:vMerge w:val="continue"/>
                  <w:tcBorders>
                    <w:top w:val="single" w:color="auto" w:sz="6" w:space="0"/>
                    <w:bottom w:val="single" w:color="auto" w:sz="12" w:space="0"/>
                  </w:tcBorders>
                  <w:vAlign w:val="center"/>
                </w:tcPr>
                <w:p>
                  <w:pPr>
                    <w:adjustRightInd w:val="0"/>
                    <w:snapToGrid w:val="0"/>
                    <w:jc w:val="center"/>
                    <w:rPr>
                      <w:szCs w:val="21"/>
                    </w:rPr>
                  </w:pPr>
                </w:p>
              </w:tc>
            </w:tr>
          </w:tbl>
          <w:p>
            <w:pPr>
              <w:pStyle w:val="11"/>
              <w:spacing w:beforeLines="50" w:line="360" w:lineRule="auto"/>
              <w:ind w:firstLine="480"/>
              <w:rPr>
                <w:sz w:val="24"/>
              </w:rPr>
            </w:pPr>
            <w:r>
              <w:rPr>
                <w:sz w:val="24"/>
              </w:rPr>
              <w:t>3、厂界噪声执行标准</w:t>
            </w:r>
          </w:p>
          <w:p>
            <w:pPr>
              <w:pStyle w:val="11"/>
              <w:spacing w:line="360" w:lineRule="auto"/>
              <w:ind w:firstLine="480"/>
              <w:rPr>
                <w:sz w:val="24"/>
              </w:rPr>
            </w:pPr>
            <w:r>
              <w:rPr>
                <w:sz w:val="24"/>
              </w:rPr>
              <w:t>设项目厂界噪声执行《工业企业厂界环境噪声排放标准》（GB12348-2008）</w:t>
            </w:r>
            <w:r>
              <w:rPr>
                <w:rFonts w:hint="eastAsia"/>
                <w:sz w:val="24"/>
              </w:rPr>
              <w:t>2</w:t>
            </w:r>
            <w:r>
              <w:rPr>
                <w:sz w:val="24"/>
              </w:rPr>
              <w:t>类标准。具体标准限值见表4-</w:t>
            </w:r>
            <w:r>
              <w:rPr>
                <w:rFonts w:hint="eastAsia"/>
                <w:sz w:val="24"/>
              </w:rPr>
              <w:t>6</w:t>
            </w:r>
            <w:r>
              <w:rPr>
                <w:sz w:val="24"/>
              </w:rPr>
              <w:t>。</w:t>
            </w:r>
          </w:p>
          <w:p>
            <w:pPr>
              <w:adjustRightInd w:val="0"/>
              <w:snapToGrid w:val="0"/>
              <w:jc w:val="center"/>
              <w:rPr>
                <w:sz w:val="24"/>
                <w:szCs w:val="24"/>
              </w:rPr>
            </w:pPr>
            <w:r>
              <w:rPr>
                <w:b/>
                <w:bCs/>
                <w:sz w:val="24"/>
              </w:rPr>
              <w:t>表4-</w:t>
            </w:r>
            <w:r>
              <w:rPr>
                <w:rFonts w:hint="eastAsia"/>
                <w:b/>
                <w:bCs/>
                <w:sz w:val="24"/>
              </w:rPr>
              <w:t xml:space="preserve">6  </w:t>
            </w:r>
            <w:r>
              <w:rPr>
                <w:b/>
                <w:sz w:val="24"/>
              </w:rPr>
              <w:t>工业企业厂界环境噪声排放标准</w:t>
            </w:r>
          </w:p>
          <w:tbl>
            <w:tblPr>
              <w:tblStyle w:val="3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96"/>
              <w:gridCol w:w="1811"/>
              <w:gridCol w:w="1262"/>
              <w:gridCol w:w="36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6" w:type="pct"/>
                  <w:vAlign w:val="center"/>
                </w:tcPr>
                <w:p>
                  <w:pPr>
                    <w:jc w:val="center"/>
                    <w:rPr>
                      <w:b/>
                      <w:bCs/>
                      <w:szCs w:val="21"/>
                    </w:rPr>
                  </w:pPr>
                  <w:r>
                    <w:rPr>
                      <w:b/>
                      <w:bCs/>
                      <w:szCs w:val="21"/>
                    </w:rPr>
                    <w:t>类别</w:t>
                  </w:r>
                </w:p>
              </w:tc>
              <w:tc>
                <w:tcPr>
                  <w:tcW w:w="1175" w:type="pct"/>
                  <w:vAlign w:val="center"/>
                </w:tcPr>
                <w:p>
                  <w:pPr>
                    <w:jc w:val="center"/>
                    <w:rPr>
                      <w:b/>
                      <w:bCs/>
                      <w:szCs w:val="21"/>
                    </w:rPr>
                  </w:pPr>
                  <w:r>
                    <w:rPr>
                      <w:b/>
                      <w:bCs/>
                      <w:szCs w:val="21"/>
                    </w:rPr>
                    <w:t>昼间</w:t>
                  </w:r>
                </w:p>
              </w:tc>
              <w:tc>
                <w:tcPr>
                  <w:tcW w:w="819" w:type="pct"/>
                  <w:vAlign w:val="center"/>
                </w:tcPr>
                <w:p>
                  <w:pPr>
                    <w:jc w:val="center"/>
                    <w:rPr>
                      <w:b/>
                      <w:bCs/>
                      <w:szCs w:val="21"/>
                    </w:rPr>
                  </w:pPr>
                  <w:r>
                    <w:rPr>
                      <w:b/>
                      <w:bCs/>
                      <w:szCs w:val="21"/>
                    </w:rPr>
                    <w:t>夜间</w:t>
                  </w:r>
                </w:p>
              </w:tc>
              <w:tc>
                <w:tcPr>
                  <w:tcW w:w="2360" w:type="pct"/>
                  <w:vAlign w:val="center"/>
                </w:tcPr>
                <w:p>
                  <w:pPr>
                    <w:jc w:val="center"/>
                    <w:rPr>
                      <w:b/>
                      <w:bCs/>
                      <w:szCs w:val="21"/>
                    </w:rPr>
                  </w:pPr>
                  <w:r>
                    <w:rPr>
                      <w:b/>
                      <w:bCs/>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6" w:type="pct"/>
                  <w:vAlign w:val="center"/>
                </w:tcPr>
                <w:p>
                  <w:pPr>
                    <w:adjustRightInd w:val="0"/>
                    <w:snapToGrid w:val="0"/>
                    <w:jc w:val="center"/>
                    <w:rPr>
                      <w:szCs w:val="21"/>
                    </w:rPr>
                  </w:pPr>
                  <w:r>
                    <w:rPr>
                      <w:szCs w:val="21"/>
                    </w:rPr>
                    <w:t>3</w:t>
                  </w:r>
                </w:p>
              </w:tc>
              <w:tc>
                <w:tcPr>
                  <w:tcW w:w="1175" w:type="pct"/>
                  <w:vAlign w:val="center"/>
                </w:tcPr>
                <w:p>
                  <w:pPr>
                    <w:adjustRightInd w:val="0"/>
                    <w:snapToGrid w:val="0"/>
                    <w:jc w:val="center"/>
                    <w:rPr>
                      <w:szCs w:val="21"/>
                    </w:rPr>
                  </w:pPr>
                  <w:r>
                    <w:rPr>
                      <w:szCs w:val="21"/>
                    </w:rPr>
                    <w:t>6</w:t>
                  </w:r>
                  <w:r>
                    <w:rPr>
                      <w:rFonts w:hint="eastAsia"/>
                      <w:szCs w:val="21"/>
                    </w:rPr>
                    <w:t>0dB（A）</w:t>
                  </w:r>
                </w:p>
              </w:tc>
              <w:tc>
                <w:tcPr>
                  <w:tcW w:w="819" w:type="pct"/>
                  <w:vAlign w:val="center"/>
                </w:tcPr>
                <w:p>
                  <w:pPr>
                    <w:adjustRightInd w:val="0"/>
                    <w:snapToGrid w:val="0"/>
                    <w:jc w:val="center"/>
                    <w:rPr>
                      <w:szCs w:val="21"/>
                    </w:rPr>
                  </w:pPr>
                  <w:r>
                    <w:rPr>
                      <w:szCs w:val="21"/>
                    </w:rPr>
                    <w:t>5</w:t>
                  </w:r>
                  <w:r>
                    <w:rPr>
                      <w:rFonts w:hint="eastAsia"/>
                      <w:szCs w:val="21"/>
                    </w:rPr>
                    <w:t>0dB（A）</w:t>
                  </w:r>
                </w:p>
              </w:tc>
              <w:tc>
                <w:tcPr>
                  <w:tcW w:w="2360" w:type="pct"/>
                  <w:vAlign w:val="center"/>
                </w:tcPr>
                <w:p>
                  <w:pPr>
                    <w:adjustRightInd w:val="0"/>
                    <w:snapToGrid w:val="0"/>
                    <w:jc w:val="center"/>
                    <w:rPr>
                      <w:szCs w:val="21"/>
                    </w:rPr>
                  </w:pPr>
                  <w:r>
                    <w:rPr>
                      <w:szCs w:val="21"/>
                    </w:rPr>
                    <w:t>《工业企业厂界环境噪声排放标准》（GB12348-2008）</w:t>
                  </w:r>
                  <w:r>
                    <w:rPr>
                      <w:rFonts w:hint="eastAsia"/>
                      <w:szCs w:val="21"/>
                    </w:rPr>
                    <w:t>2</w:t>
                  </w:r>
                  <w:r>
                    <w:rPr>
                      <w:szCs w:val="21"/>
                    </w:rPr>
                    <w:t>类标准</w:t>
                  </w:r>
                </w:p>
              </w:tc>
            </w:tr>
          </w:tbl>
          <w:p>
            <w:pPr>
              <w:pStyle w:val="11"/>
              <w:spacing w:beforeLines="50" w:line="360" w:lineRule="auto"/>
              <w:ind w:firstLine="480"/>
              <w:rPr>
                <w:sz w:val="24"/>
              </w:rPr>
            </w:pPr>
            <w:r>
              <w:rPr>
                <w:rFonts w:hint="eastAsia"/>
                <w:sz w:val="24"/>
              </w:rPr>
              <w:t>4、固废</w:t>
            </w:r>
          </w:p>
          <w:p>
            <w:pPr>
              <w:spacing w:line="360" w:lineRule="auto"/>
              <w:ind w:firstLine="480" w:firstLineChars="200"/>
              <w:rPr>
                <w:sz w:val="24"/>
              </w:rPr>
            </w:pPr>
            <w:r>
              <w:rPr>
                <w:rFonts w:hint="eastAsia"/>
                <w:sz w:val="24"/>
              </w:rPr>
              <w:t>本项目产生的一般废物的贮存和处置评价采用《一般工业固体废物贮存、处置场污染控制标准》（GB18599-2001）及其修改单中有关规定</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4" w:hRule="atLeast"/>
        </w:trPr>
        <w:tc>
          <w:tcPr>
            <w:tcW w:w="456" w:type="dxa"/>
            <w:vAlign w:val="center"/>
          </w:tcPr>
          <w:p>
            <w:pPr>
              <w:spacing w:line="360" w:lineRule="auto"/>
              <w:jc w:val="center"/>
              <w:rPr>
                <w:sz w:val="24"/>
              </w:rPr>
            </w:pPr>
            <w:r>
              <w:rPr>
                <w:sz w:val="24"/>
              </w:rPr>
              <w:t>总</w:t>
            </w:r>
          </w:p>
          <w:p>
            <w:pPr>
              <w:spacing w:line="360" w:lineRule="auto"/>
              <w:jc w:val="center"/>
              <w:rPr>
                <w:sz w:val="24"/>
              </w:rPr>
            </w:pPr>
            <w:r>
              <w:rPr>
                <w:sz w:val="24"/>
              </w:rPr>
              <w:t>量</w:t>
            </w:r>
          </w:p>
          <w:p>
            <w:pPr>
              <w:spacing w:line="360" w:lineRule="auto"/>
              <w:jc w:val="center"/>
              <w:rPr>
                <w:sz w:val="24"/>
              </w:rPr>
            </w:pPr>
            <w:r>
              <w:rPr>
                <w:sz w:val="24"/>
              </w:rPr>
              <w:t>控</w:t>
            </w:r>
          </w:p>
          <w:p>
            <w:pPr>
              <w:spacing w:line="360" w:lineRule="auto"/>
              <w:jc w:val="center"/>
              <w:rPr>
                <w:sz w:val="24"/>
              </w:rPr>
            </w:pPr>
            <w:r>
              <w:rPr>
                <w:sz w:val="24"/>
              </w:rPr>
              <w:t>制</w:t>
            </w:r>
          </w:p>
          <w:p>
            <w:pPr>
              <w:spacing w:line="360" w:lineRule="auto"/>
              <w:jc w:val="center"/>
              <w:rPr>
                <w:sz w:val="24"/>
              </w:rPr>
            </w:pPr>
            <w:r>
              <w:rPr>
                <w:sz w:val="24"/>
              </w:rPr>
              <w:t>指</w:t>
            </w:r>
          </w:p>
          <w:p>
            <w:pPr>
              <w:spacing w:line="360" w:lineRule="auto"/>
              <w:jc w:val="center"/>
              <w:rPr>
                <w:sz w:val="24"/>
              </w:rPr>
            </w:pPr>
            <w:r>
              <w:rPr>
                <w:sz w:val="24"/>
              </w:rPr>
              <w:t>标</w:t>
            </w:r>
          </w:p>
        </w:tc>
        <w:tc>
          <w:tcPr>
            <w:tcW w:w="7923" w:type="dxa"/>
          </w:tcPr>
          <w:p>
            <w:pPr>
              <w:spacing w:line="360" w:lineRule="auto"/>
              <w:ind w:firstLine="480" w:firstLineChars="200"/>
              <w:rPr>
                <w:sz w:val="24"/>
              </w:rPr>
            </w:pPr>
            <w:r>
              <w:rPr>
                <w:sz w:val="24"/>
              </w:rPr>
              <w:t>本项目投产后，污染物排放总量见下表。</w:t>
            </w:r>
          </w:p>
          <w:p>
            <w:pPr>
              <w:pStyle w:val="17"/>
              <w:snapToGrid w:val="0"/>
              <w:spacing w:line="240" w:lineRule="auto"/>
              <w:ind w:firstLine="0"/>
              <w:jc w:val="center"/>
              <w:rPr>
                <w:b/>
                <w:szCs w:val="24"/>
              </w:rPr>
            </w:pPr>
            <w:r>
              <w:rPr>
                <w:rFonts w:hAnsi="宋体"/>
                <w:b/>
                <w:szCs w:val="24"/>
              </w:rPr>
              <w:t>表</w:t>
            </w:r>
            <w:r>
              <w:rPr>
                <w:rFonts w:hint="eastAsia"/>
                <w:b/>
                <w:szCs w:val="24"/>
              </w:rPr>
              <w:t xml:space="preserve">4-7  </w:t>
            </w:r>
            <w:r>
              <w:rPr>
                <w:rFonts w:hAnsi="宋体"/>
                <w:b/>
                <w:szCs w:val="24"/>
              </w:rPr>
              <w:t>本</w:t>
            </w:r>
            <w:r>
              <w:rPr>
                <w:rFonts w:hAnsi="宋体"/>
                <w:b/>
                <w:bCs/>
                <w:szCs w:val="24"/>
              </w:rPr>
              <w:t>项目污染物排放总量表</w:t>
            </w:r>
            <w:r>
              <w:rPr>
                <w:rFonts w:hAnsi="宋体"/>
                <w:b/>
                <w:szCs w:val="24"/>
              </w:rPr>
              <w:t>单位：</w:t>
            </w:r>
            <w:r>
              <w:rPr>
                <w:b/>
                <w:szCs w:val="24"/>
              </w:rPr>
              <w:t>t/a</w:t>
            </w:r>
          </w:p>
          <w:tbl>
            <w:tblPr>
              <w:tblStyle w:val="33"/>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394"/>
              <w:gridCol w:w="626"/>
              <w:gridCol w:w="1238"/>
              <w:gridCol w:w="1123"/>
              <w:gridCol w:w="1125"/>
              <w:gridCol w:w="1045"/>
              <w:gridCol w:w="1109"/>
              <w:gridCol w:w="10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0" w:hRule="atLeast"/>
                <w:jc w:val="center"/>
              </w:trPr>
              <w:tc>
                <w:tcPr>
                  <w:tcW w:w="1020" w:type="dxa"/>
                  <w:gridSpan w:val="2"/>
                  <w:tcBorders>
                    <w:top w:val="single" w:color="auto" w:sz="12" w:space="0"/>
                    <w:left w:val="nil"/>
                    <w:bottom w:val="single" w:color="auto" w:sz="4" w:space="0"/>
                    <w:right w:val="single" w:color="auto" w:sz="4" w:space="0"/>
                  </w:tcBorders>
                  <w:vAlign w:val="center"/>
                </w:tcPr>
                <w:p>
                  <w:pPr>
                    <w:adjustRightInd w:val="0"/>
                    <w:snapToGrid w:val="0"/>
                    <w:jc w:val="center"/>
                    <w:rPr>
                      <w:b/>
                      <w:bCs/>
                      <w:szCs w:val="22"/>
                    </w:rPr>
                  </w:pPr>
                  <w:r>
                    <w:rPr>
                      <w:rFonts w:hint="eastAsia"/>
                      <w:b/>
                      <w:bCs/>
                    </w:rPr>
                    <w:t>类别</w:t>
                  </w:r>
                </w:p>
              </w:tc>
              <w:tc>
                <w:tcPr>
                  <w:tcW w:w="1238"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bCs/>
                      <w:szCs w:val="22"/>
                    </w:rPr>
                  </w:pPr>
                  <w:r>
                    <w:rPr>
                      <w:rFonts w:hint="eastAsia"/>
                      <w:b/>
                      <w:bCs/>
                    </w:rPr>
                    <w:t>污染物名称</w:t>
                  </w:r>
                </w:p>
              </w:tc>
              <w:tc>
                <w:tcPr>
                  <w:tcW w:w="1123"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bCs/>
                      <w:szCs w:val="22"/>
                    </w:rPr>
                  </w:pPr>
                  <w:r>
                    <w:rPr>
                      <w:rFonts w:hint="eastAsia"/>
                      <w:b/>
                      <w:bCs/>
                    </w:rPr>
                    <w:t>产生量</w:t>
                  </w:r>
                </w:p>
              </w:tc>
              <w:tc>
                <w:tcPr>
                  <w:tcW w:w="1125"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bCs/>
                      <w:szCs w:val="22"/>
                    </w:rPr>
                  </w:pPr>
                  <w:r>
                    <w:rPr>
                      <w:rFonts w:hint="eastAsia"/>
                      <w:b/>
                      <w:bCs/>
                    </w:rPr>
                    <w:t>削减量</w:t>
                  </w:r>
                </w:p>
              </w:tc>
              <w:tc>
                <w:tcPr>
                  <w:tcW w:w="1045"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bCs/>
                      <w:szCs w:val="22"/>
                    </w:rPr>
                  </w:pPr>
                  <w:r>
                    <w:rPr>
                      <w:rFonts w:hint="eastAsia"/>
                      <w:b/>
                      <w:bCs/>
                    </w:rPr>
                    <w:t>接管量</w:t>
                  </w:r>
                </w:p>
              </w:tc>
              <w:tc>
                <w:tcPr>
                  <w:tcW w:w="1109"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bCs/>
                      <w:szCs w:val="22"/>
                    </w:rPr>
                  </w:pPr>
                  <w:r>
                    <w:rPr>
                      <w:rFonts w:hint="eastAsia"/>
                      <w:b/>
                      <w:bCs/>
                    </w:rPr>
                    <w:t>外排环境量</w:t>
                  </w:r>
                </w:p>
              </w:tc>
              <w:tc>
                <w:tcPr>
                  <w:tcW w:w="1047" w:type="dxa"/>
                  <w:tcBorders>
                    <w:top w:val="single" w:color="auto" w:sz="12" w:space="0"/>
                    <w:left w:val="single" w:color="auto" w:sz="4" w:space="0"/>
                    <w:bottom w:val="single" w:color="auto" w:sz="4" w:space="0"/>
                    <w:right w:val="nil"/>
                  </w:tcBorders>
                  <w:vAlign w:val="center"/>
                </w:tcPr>
                <w:p>
                  <w:pPr>
                    <w:adjustRightInd w:val="0"/>
                    <w:snapToGrid w:val="0"/>
                    <w:jc w:val="center"/>
                    <w:rPr>
                      <w:b/>
                      <w:bCs/>
                      <w:szCs w:val="22"/>
                    </w:rPr>
                  </w:pPr>
                  <w:r>
                    <w:rPr>
                      <w:rFonts w:hint="eastAsia"/>
                      <w:b/>
                      <w:bCs/>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0" w:hRule="atLeast"/>
                <w:jc w:val="center"/>
              </w:trPr>
              <w:tc>
                <w:tcPr>
                  <w:tcW w:w="1020" w:type="dxa"/>
                  <w:gridSpan w:val="2"/>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2"/>
                    </w:rPr>
                  </w:pPr>
                  <w:r>
                    <w:rPr>
                      <w:rFonts w:hint="eastAsia" w:ascii="宋体" w:hAnsi="宋体" w:cs="宋体"/>
                    </w:rPr>
                    <w:t>废水</w:t>
                  </w:r>
                </w:p>
              </w:tc>
              <w:tc>
                <w:tcPr>
                  <w:tcW w:w="12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rPr>
                      <w:rFonts w:hint="eastAsia"/>
                    </w:rPr>
                    <w:t>废水量</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56</w:t>
                  </w: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56</w:t>
                  </w:r>
                </w:p>
              </w:tc>
              <w:tc>
                <w:tcPr>
                  <w:tcW w:w="10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t>0</w:t>
                  </w:r>
                </w:p>
              </w:tc>
              <w:tc>
                <w:tcPr>
                  <w:tcW w:w="11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t>0</w:t>
                  </w:r>
                </w:p>
              </w:tc>
              <w:tc>
                <w:tcPr>
                  <w:tcW w:w="1047" w:type="dxa"/>
                  <w:vMerge w:val="restart"/>
                  <w:tcBorders>
                    <w:top w:val="single" w:color="auto" w:sz="4" w:space="0"/>
                    <w:left w:val="single" w:color="auto" w:sz="4" w:space="0"/>
                    <w:bottom w:val="single" w:color="auto" w:sz="4" w:space="0"/>
                    <w:right w:val="nil"/>
                  </w:tcBorders>
                  <w:vAlign w:val="center"/>
                </w:tcPr>
                <w:p>
                  <w:pPr>
                    <w:adjustRightInd w:val="0"/>
                    <w:snapToGrid w:val="0"/>
                    <w:jc w:val="center"/>
                    <w:rPr>
                      <w:bCs/>
                      <w:szCs w:val="21"/>
                    </w:rPr>
                  </w:pPr>
                  <w:r>
                    <w:rPr>
                      <w:rFonts w:hint="eastAsia"/>
                      <w:bCs/>
                      <w:szCs w:val="21"/>
                    </w:rPr>
                    <w:t>厂区绿化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0" w:hRule="atLeast"/>
                <w:jc w:val="center"/>
              </w:trPr>
              <w:tc>
                <w:tcPr>
                  <w:tcW w:w="1020" w:type="dxa"/>
                  <w:gridSpan w:val="2"/>
                  <w:vMerge w:val="continue"/>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szCs w:val="22"/>
                    </w:rPr>
                  </w:pPr>
                </w:p>
              </w:tc>
              <w:tc>
                <w:tcPr>
                  <w:tcW w:w="12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t>COD</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r>
                    <w:rPr>
                      <w:rFonts w:hint="eastAsia"/>
                      <w:szCs w:val="21"/>
                    </w:rPr>
                    <w:t>0196</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r>
                    <w:rPr>
                      <w:rFonts w:hint="eastAsia"/>
                      <w:szCs w:val="21"/>
                    </w:rPr>
                    <w:t>0196</w:t>
                  </w:r>
                </w:p>
              </w:tc>
              <w:tc>
                <w:tcPr>
                  <w:tcW w:w="10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t>0</w:t>
                  </w:r>
                </w:p>
              </w:tc>
              <w:tc>
                <w:tcPr>
                  <w:tcW w:w="11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t>0</w:t>
                  </w:r>
                </w:p>
              </w:tc>
              <w:tc>
                <w:tcPr>
                  <w:tcW w:w="1047" w:type="dxa"/>
                  <w:vMerge w:val="continue"/>
                  <w:tcBorders>
                    <w:top w:val="single" w:color="auto" w:sz="4" w:space="0"/>
                    <w:left w:val="single" w:color="auto" w:sz="4" w:space="0"/>
                    <w:bottom w:val="single" w:color="auto" w:sz="4" w:space="0"/>
                    <w:right w:val="nil"/>
                  </w:tcBorders>
                  <w:vAlign w:val="center"/>
                </w:tcPr>
                <w:p>
                  <w:pPr>
                    <w:widowControl/>
                    <w:adjustRightInd w:val="0"/>
                    <w:snapToGri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0" w:hRule="atLeast"/>
                <w:jc w:val="center"/>
              </w:trPr>
              <w:tc>
                <w:tcPr>
                  <w:tcW w:w="1020" w:type="dxa"/>
                  <w:gridSpan w:val="2"/>
                  <w:vMerge w:val="continue"/>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szCs w:val="22"/>
                    </w:rPr>
                  </w:pPr>
                </w:p>
              </w:tc>
              <w:tc>
                <w:tcPr>
                  <w:tcW w:w="12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t>SS</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0.014</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0.014</w:t>
                  </w:r>
                </w:p>
              </w:tc>
              <w:tc>
                <w:tcPr>
                  <w:tcW w:w="10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t>0</w:t>
                  </w:r>
                </w:p>
              </w:tc>
              <w:tc>
                <w:tcPr>
                  <w:tcW w:w="11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t>0</w:t>
                  </w:r>
                </w:p>
              </w:tc>
              <w:tc>
                <w:tcPr>
                  <w:tcW w:w="1047" w:type="dxa"/>
                  <w:vMerge w:val="continue"/>
                  <w:tcBorders>
                    <w:top w:val="single" w:color="auto" w:sz="4" w:space="0"/>
                    <w:left w:val="single" w:color="auto" w:sz="4" w:space="0"/>
                    <w:bottom w:val="single" w:color="auto" w:sz="4" w:space="0"/>
                    <w:right w:val="nil"/>
                  </w:tcBorders>
                  <w:vAlign w:val="center"/>
                </w:tcPr>
                <w:p>
                  <w:pPr>
                    <w:widowControl/>
                    <w:adjustRightInd w:val="0"/>
                    <w:snapToGri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0" w:hRule="atLeast"/>
                <w:jc w:val="center"/>
              </w:trPr>
              <w:tc>
                <w:tcPr>
                  <w:tcW w:w="1020" w:type="dxa"/>
                  <w:gridSpan w:val="2"/>
                  <w:vMerge w:val="continue"/>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szCs w:val="22"/>
                    </w:rPr>
                  </w:pPr>
                </w:p>
              </w:tc>
              <w:tc>
                <w:tcPr>
                  <w:tcW w:w="12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rPr>
                      <w:rFonts w:hint="eastAsia"/>
                    </w:rPr>
                    <w:t>氨氮</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0.00168</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0.00168</w:t>
                  </w:r>
                </w:p>
              </w:tc>
              <w:tc>
                <w:tcPr>
                  <w:tcW w:w="10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t>0</w:t>
                  </w:r>
                </w:p>
              </w:tc>
              <w:tc>
                <w:tcPr>
                  <w:tcW w:w="11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t>0</w:t>
                  </w:r>
                </w:p>
              </w:tc>
              <w:tc>
                <w:tcPr>
                  <w:tcW w:w="1047" w:type="dxa"/>
                  <w:vMerge w:val="continue"/>
                  <w:tcBorders>
                    <w:top w:val="single" w:color="auto" w:sz="4" w:space="0"/>
                    <w:left w:val="single" w:color="auto" w:sz="4" w:space="0"/>
                    <w:bottom w:val="single" w:color="auto" w:sz="4" w:space="0"/>
                    <w:right w:val="nil"/>
                  </w:tcBorders>
                  <w:vAlign w:val="center"/>
                </w:tcPr>
                <w:p>
                  <w:pPr>
                    <w:widowControl/>
                    <w:adjustRightInd w:val="0"/>
                    <w:snapToGri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0" w:hRule="atLeast"/>
                <w:jc w:val="center"/>
              </w:trPr>
              <w:tc>
                <w:tcPr>
                  <w:tcW w:w="1020" w:type="dxa"/>
                  <w:gridSpan w:val="2"/>
                  <w:vMerge w:val="continue"/>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szCs w:val="22"/>
                    </w:rPr>
                  </w:pPr>
                </w:p>
              </w:tc>
              <w:tc>
                <w:tcPr>
                  <w:tcW w:w="12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rPr>
                      <w:rFonts w:hint="eastAsia"/>
                    </w:rPr>
                    <w:t>总磷</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0.000168</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0.000168</w:t>
                  </w:r>
                </w:p>
              </w:tc>
              <w:tc>
                <w:tcPr>
                  <w:tcW w:w="10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t>0</w:t>
                  </w:r>
                </w:p>
              </w:tc>
              <w:tc>
                <w:tcPr>
                  <w:tcW w:w="11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t>0</w:t>
                  </w:r>
                </w:p>
              </w:tc>
              <w:tc>
                <w:tcPr>
                  <w:tcW w:w="1047" w:type="dxa"/>
                  <w:vMerge w:val="continue"/>
                  <w:tcBorders>
                    <w:top w:val="single" w:color="auto" w:sz="4" w:space="0"/>
                    <w:left w:val="single" w:color="auto" w:sz="4" w:space="0"/>
                    <w:bottom w:val="single" w:color="auto" w:sz="4" w:space="0"/>
                    <w:right w:val="nil"/>
                  </w:tcBorders>
                  <w:vAlign w:val="center"/>
                </w:tcPr>
                <w:p>
                  <w:pPr>
                    <w:widowControl/>
                    <w:adjustRightInd w:val="0"/>
                    <w:snapToGri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0" w:hRule="atLeast"/>
                <w:jc w:val="center"/>
              </w:trPr>
              <w:tc>
                <w:tcPr>
                  <w:tcW w:w="394"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2"/>
                    </w:rPr>
                  </w:pPr>
                  <w:r>
                    <w:rPr>
                      <w:rFonts w:hint="eastAsia" w:ascii="宋体" w:hAnsi="宋体" w:cs="宋体"/>
                    </w:rPr>
                    <w:t>废气</w:t>
                  </w:r>
                </w:p>
              </w:tc>
              <w:tc>
                <w:tcPr>
                  <w:tcW w:w="6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2"/>
                    </w:rPr>
                  </w:pPr>
                  <w:r>
                    <w:rPr>
                      <w:rFonts w:hint="eastAsia" w:ascii="宋体" w:hAnsi="宋体" w:cs="宋体"/>
                    </w:rPr>
                    <w:t>有组织</w:t>
                  </w:r>
                </w:p>
              </w:tc>
              <w:tc>
                <w:tcPr>
                  <w:tcW w:w="12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rPr>
                      <w:rFonts w:hint="eastAsia"/>
                    </w:rPr>
                    <w:t>粉尘</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rPr>
                      <w:rFonts w:hint="eastAsia"/>
                    </w:rPr>
                    <w:t>2.7</w:t>
                  </w: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rPr>
                      <w:rFonts w:hint="eastAsia"/>
                      <w:szCs w:val="22"/>
                    </w:rPr>
                    <w:t>2.673</w:t>
                  </w:r>
                </w:p>
              </w:tc>
              <w:tc>
                <w:tcPr>
                  <w:tcW w:w="10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t>—</w:t>
                  </w:r>
                </w:p>
              </w:tc>
              <w:tc>
                <w:tcPr>
                  <w:tcW w:w="11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t>0.</w:t>
                  </w:r>
                  <w:r>
                    <w:rPr>
                      <w:rFonts w:hint="eastAsia"/>
                    </w:rPr>
                    <w:t>027</w:t>
                  </w:r>
                </w:p>
              </w:tc>
              <w:tc>
                <w:tcPr>
                  <w:tcW w:w="1047" w:type="dxa"/>
                  <w:vMerge w:val="restart"/>
                  <w:tcBorders>
                    <w:top w:val="single" w:color="auto" w:sz="4" w:space="0"/>
                    <w:left w:val="single" w:color="auto" w:sz="4" w:space="0"/>
                    <w:bottom w:val="single" w:color="auto" w:sz="4" w:space="0"/>
                    <w:right w:val="nil"/>
                  </w:tcBorders>
                  <w:vAlign w:val="center"/>
                </w:tcPr>
                <w:p>
                  <w:pPr>
                    <w:adjustRightInd w:val="0"/>
                    <w:snapToGrid w:val="0"/>
                    <w:jc w:val="center"/>
                    <w:rPr>
                      <w:bCs/>
                      <w:szCs w:val="21"/>
                    </w:rPr>
                  </w:pPr>
                  <w:r>
                    <w:rPr>
                      <w:rFonts w:hint="eastAsia"/>
                      <w:bCs/>
                      <w:szCs w:val="21"/>
                    </w:rPr>
                    <w:t>大气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0" w:hRule="atLeast"/>
                <w:jc w:val="center"/>
              </w:trPr>
              <w:tc>
                <w:tcPr>
                  <w:tcW w:w="394"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szCs w:val="22"/>
                    </w:rPr>
                  </w:pPr>
                </w:p>
              </w:tc>
              <w:tc>
                <w:tcPr>
                  <w:tcW w:w="6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2"/>
                    </w:rPr>
                  </w:pPr>
                  <w:r>
                    <w:rPr>
                      <w:rFonts w:hint="eastAsia" w:ascii="宋体" w:hAnsi="宋体" w:cs="宋体"/>
                    </w:rPr>
                    <w:t>无组织</w:t>
                  </w:r>
                </w:p>
              </w:tc>
              <w:tc>
                <w:tcPr>
                  <w:tcW w:w="12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rPr>
                      <w:rFonts w:hint="eastAsia"/>
                    </w:rPr>
                    <w:t>粉尘</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t>0.</w:t>
                  </w:r>
                  <w:r>
                    <w:rPr>
                      <w:rFonts w:hint="eastAsia"/>
                      <w:lang w:val="en-US" w:eastAsia="zh-CN"/>
                    </w:rPr>
                    <w:t>3</w:t>
                  </w:r>
                  <w:r>
                    <w:rPr>
                      <w:rFonts w:hint="eastAsia"/>
                    </w:rPr>
                    <w:t>3</w:t>
                  </w: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t>0</w:t>
                  </w:r>
                </w:p>
              </w:tc>
              <w:tc>
                <w:tcPr>
                  <w:tcW w:w="10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rPr>
                      <w:rFonts w:hint="eastAsia"/>
                    </w:rPr>
                    <w:t>—</w:t>
                  </w:r>
                </w:p>
              </w:tc>
              <w:tc>
                <w:tcPr>
                  <w:tcW w:w="11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t>0.</w:t>
                  </w:r>
                  <w:r>
                    <w:rPr>
                      <w:rFonts w:hint="eastAsia"/>
                      <w:lang w:val="en-US" w:eastAsia="zh-CN"/>
                    </w:rPr>
                    <w:t>3</w:t>
                  </w:r>
                  <w:r>
                    <w:rPr>
                      <w:rFonts w:hint="eastAsia"/>
                    </w:rPr>
                    <w:t>3</w:t>
                  </w:r>
                </w:p>
              </w:tc>
              <w:tc>
                <w:tcPr>
                  <w:tcW w:w="1047" w:type="dxa"/>
                  <w:vMerge w:val="continue"/>
                  <w:tcBorders>
                    <w:top w:val="single" w:color="auto" w:sz="4" w:space="0"/>
                    <w:left w:val="single" w:color="auto" w:sz="4" w:space="0"/>
                    <w:bottom w:val="single" w:color="auto" w:sz="4" w:space="0"/>
                    <w:right w:val="nil"/>
                  </w:tcBorders>
                  <w:vAlign w:val="center"/>
                </w:tcPr>
                <w:p>
                  <w:pPr>
                    <w:widowControl/>
                    <w:adjustRightInd w:val="0"/>
                    <w:snapToGri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0" w:hRule="atLeast"/>
                <w:jc w:val="center"/>
              </w:trPr>
              <w:tc>
                <w:tcPr>
                  <w:tcW w:w="1020" w:type="dxa"/>
                  <w:gridSpan w:val="2"/>
                  <w:vMerge w:val="restart"/>
                  <w:tcBorders>
                    <w:top w:val="single" w:color="auto" w:sz="4" w:space="0"/>
                    <w:left w:val="nil"/>
                    <w:bottom w:val="single" w:color="auto" w:sz="12" w:space="0"/>
                    <w:right w:val="single" w:color="auto" w:sz="4" w:space="0"/>
                  </w:tcBorders>
                  <w:vAlign w:val="center"/>
                </w:tcPr>
                <w:p>
                  <w:pPr>
                    <w:adjustRightInd w:val="0"/>
                    <w:snapToGrid w:val="0"/>
                    <w:jc w:val="center"/>
                    <w:rPr>
                      <w:rFonts w:ascii="宋体" w:hAnsi="宋体" w:cs="宋体"/>
                      <w:szCs w:val="22"/>
                    </w:rPr>
                  </w:pPr>
                  <w:r>
                    <w:rPr>
                      <w:rFonts w:hint="eastAsia" w:ascii="宋体" w:hAnsi="宋体" w:cs="宋体"/>
                    </w:rPr>
                    <w:t>固废</w:t>
                  </w:r>
                </w:p>
              </w:tc>
              <w:tc>
                <w:tcPr>
                  <w:tcW w:w="12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rPr>
                      <w:rFonts w:hint="eastAsia"/>
                    </w:rPr>
                    <w:t>一般工业固废</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rPr>
                      <w:rFonts w:hint="eastAsia"/>
                    </w:rPr>
                    <w:t>3.173</w:t>
                  </w: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rPr>
                      <w:rFonts w:hint="eastAsia"/>
                    </w:rPr>
                    <w:t>3.173</w:t>
                  </w:r>
                </w:p>
              </w:tc>
              <w:tc>
                <w:tcPr>
                  <w:tcW w:w="10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t>—</w:t>
                  </w:r>
                </w:p>
              </w:tc>
              <w:tc>
                <w:tcPr>
                  <w:tcW w:w="11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2"/>
                    </w:rPr>
                  </w:pPr>
                  <w:r>
                    <w:t>0</w:t>
                  </w:r>
                </w:p>
              </w:tc>
              <w:tc>
                <w:tcPr>
                  <w:tcW w:w="1047" w:type="dxa"/>
                  <w:vMerge w:val="restart"/>
                  <w:tcBorders>
                    <w:top w:val="single" w:color="auto" w:sz="4" w:space="0"/>
                    <w:left w:val="single" w:color="auto" w:sz="4" w:space="0"/>
                    <w:bottom w:val="single" w:color="auto" w:sz="12" w:space="0"/>
                    <w:right w:val="nil"/>
                  </w:tcBorders>
                  <w:vAlign w:val="center"/>
                </w:tcPr>
                <w:p>
                  <w:pPr>
                    <w:adjustRightInd w:val="0"/>
                    <w:snapToGrid w:val="0"/>
                    <w:jc w:val="center"/>
                    <w:rPr>
                      <w:bCs/>
                      <w:szCs w:val="21"/>
                    </w:rPr>
                  </w:pPr>
                  <w:r>
                    <w:rPr>
                      <w:rFonts w:hint="eastAsia"/>
                      <w:bCs/>
                      <w:szCs w:val="21"/>
                    </w:rPr>
                    <w:t>零排放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0" w:hRule="atLeast"/>
                <w:jc w:val="center"/>
              </w:trPr>
              <w:tc>
                <w:tcPr>
                  <w:tcW w:w="1020" w:type="dxa"/>
                  <w:gridSpan w:val="2"/>
                  <w:vMerge w:val="continue"/>
                  <w:tcBorders>
                    <w:top w:val="single" w:color="auto" w:sz="4" w:space="0"/>
                    <w:left w:val="nil"/>
                    <w:bottom w:val="single" w:color="auto" w:sz="12" w:space="0"/>
                    <w:right w:val="single" w:color="auto" w:sz="4" w:space="0"/>
                  </w:tcBorders>
                  <w:vAlign w:val="center"/>
                </w:tcPr>
                <w:p>
                  <w:pPr>
                    <w:widowControl/>
                    <w:adjustRightInd w:val="0"/>
                    <w:snapToGrid w:val="0"/>
                    <w:jc w:val="center"/>
                    <w:rPr>
                      <w:rFonts w:ascii="宋体" w:hAnsi="宋体" w:cs="宋体"/>
                      <w:szCs w:val="22"/>
                    </w:rPr>
                  </w:pPr>
                </w:p>
              </w:tc>
              <w:tc>
                <w:tcPr>
                  <w:tcW w:w="1238"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2"/>
                    </w:rPr>
                  </w:pPr>
                  <w:r>
                    <w:rPr>
                      <w:rFonts w:hint="eastAsia"/>
                    </w:rPr>
                    <w:t>生活垃圾</w:t>
                  </w:r>
                </w:p>
              </w:tc>
              <w:tc>
                <w:tcPr>
                  <w:tcW w:w="1123"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2"/>
                    </w:rPr>
                  </w:pPr>
                  <w:r>
                    <w:rPr>
                      <w:rFonts w:hint="eastAsia"/>
                    </w:rPr>
                    <w:t>0.7</w:t>
                  </w:r>
                </w:p>
              </w:tc>
              <w:tc>
                <w:tcPr>
                  <w:tcW w:w="1125"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2"/>
                    </w:rPr>
                  </w:pPr>
                  <w:r>
                    <w:rPr>
                      <w:rFonts w:hint="eastAsia"/>
                    </w:rPr>
                    <w:t>0.7</w:t>
                  </w:r>
                </w:p>
              </w:tc>
              <w:tc>
                <w:tcPr>
                  <w:tcW w:w="1045"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2"/>
                    </w:rPr>
                  </w:pPr>
                  <w:r>
                    <w:t>—</w:t>
                  </w:r>
                </w:p>
              </w:tc>
              <w:tc>
                <w:tcPr>
                  <w:tcW w:w="1109"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2"/>
                    </w:rPr>
                  </w:pPr>
                  <w:r>
                    <w:t>0</w:t>
                  </w:r>
                </w:p>
              </w:tc>
              <w:tc>
                <w:tcPr>
                  <w:tcW w:w="1047" w:type="dxa"/>
                  <w:vMerge w:val="continue"/>
                  <w:tcBorders>
                    <w:top w:val="single" w:color="auto" w:sz="4" w:space="0"/>
                    <w:left w:val="single" w:color="auto" w:sz="4" w:space="0"/>
                    <w:bottom w:val="single" w:color="auto" w:sz="12" w:space="0"/>
                    <w:right w:val="nil"/>
                  </w:tcBorders>
                  <w:vAlign w:val="center"/>
                </w:tcPr>
                <w:p>
                  <w:pPr>
                    <w:widowControl/>
                    <w:adjustRightInd w:val="0"/>
                    <w:snapToGrid w:val="0"/>
                    <w:jc w:val="center"/>
                    <w:rPr>
                      <w:bCs/>
                      <w:szCs w:val="21"/>
                    </w:rPr>
                  </w:pPr>
                </w:p>
              </w:tc>
            </w:tr>
          </w:tbl>
          <w:p>
            <w:pPr>
              <w:adjustRightInd w:val="0"/>
              <w:snapToGrid w:val="0"/>
              <w:spacing w:beforeLines="50" w:line="360" w:lineRule="auto"/>
              <w:ind w:firstLine="480" w:firstLineChars="200"/>
              <w:rPr>
                <w:sz w:val="24"/>
                <w:szCs w:val="24"/>
              </w:rPr>
            </w:pPr>
            <w:r>
              <w:rPr>
                <w:rFonts w:hint="eastAsia"/>
                <w:sz w:val="24"/>
                <w:szCs w:val="24"/>
              </w:rPr>
              <w:t>废水：本项目生活污水经地埋式污水处理设施处理后用于厂区绿化，不外排，不申请总量。</w:t>
            </w:r>
          </w:p>
          <w:p>
            <w:pPr>
              <w:adjustRightInd w:val="0"/>
              <w:snapToGrid w:val="0"/>
              <w:spacing w:line="360" w:lineRule="auto"/>
              <w:ind w:firstLine="480" w:firstLineChars="200"/>
              <w:rPr>
                <w:sz w:val="24"/>
                <w:szCs w:val="24"/>
              </w:rPr>
            </w:pPr>
            <w:r>
              <w:rPr>
                <w:rFonts w:hint="eastAsia"/>
                <w:sz w:val="24"/>
                <w:szCs w:val="24"/>
              </w:rPr>
              <w:t>废气：本项目有组织排放的废气为粉尘</w:t>
            </w:r>
            <w:r>
              <w:rPr>
                <w:color w:val="FF0000"/>
                <w:sz w:val="24"/>
                <w:szCs w:val="24"/>
              </w:rPr>
              <w:t>0.</w:t>
            </w:r>
            <w:r>
              <w:rPr>
                <w:rFonts w:hint="eastAsia"/>
                <w:color w:val="FF0000"/>
                <w:sz w:val="24"/>
                <w:szCs w:val="24"/>
              </w:rPr>
              <w:t>027</w:t>
            </w:r>
            <w:r>
              <w:rPr>
                <w:color w:val="FF0000"/>
                <w:sz w:val="24"/>
                <w:szCs w:val="24"/>
              </w:rPr>
              <w:t>t/a</w:t>
            </w:r>
            <w:r>
              <w:rPr>
                <w:rFonts w:hint="eastAsia"/>
                <w:color w:val="FF0000"/>
                <w:sz w:val="24"/>
                <w:szCs w:val="24"/>
              </w:rPr>
              <w:t>，</w:t>
            </w:r>
            <w:r>
              <w:rPr>
                <w:rFonts w:hint="eastAsia"/>
                <w:sz w:val="24"/>
                <w:szCs w:val="24"/>
              </w:rPr>
              <w:t>向沭阳县环保局申请总量，在沭阳县区域内平衡。</w:t>
            </w:r>
          </w:p>
          <w:p>
            <w:pPr>
              <w:adjustRightInd w:val="0"/>
              <w:snapToGrid w:val="0"/>
              <w:spacing w:line="360" w:lineRule="auto"/>
              <w:ind w:firstLine="480" w:firstLineChars="200"/>
              <w:rPr>
                <w:sz w:val="24"/>
                <w:szCs w:val="24"/>
              </w:rPr>
            </w:pPr>
            <w:r>
              <w:rPr>
                <w:rFonts w:hint="eastAsia"/>
                <w:sz w:val="24"/>
                <w:szCs w:val="24"/>
              </w:rPr>
              <w:t>固废：建设项目产生的固体废弃物得到妥善处理处置，排放总量为零，不申请总量。</w:t>
            </w:r>
          </w:p>
          <w:p>
            <w:pPr>
              <w:autoSpaceDE w:val="0"/>
              <w:autoSpaceDN w:val="0"/>
              <w:spacing w:line="360" w:lineRule="auto"/>
              <w:ind w:firstLine="480" w:firstLineChars="200"/>
              <w:jc w:val="left"/>
              <w:rPr>
                <w:sz w:val="24"/>
              </w:rPr>
            </w:pPr>
          </w:p>
        </w:tc>
      </w:tr>
    </w:tbl>
    <w:p>
      <w:pPr>
        <w:pStyle w:val="3"/>
        <w:rPr>
          <w:rFonts w:eastAsia="宋体"/>
        </w:rPr>
      </w:pPr>
      <w:r>
        <w:rPr>
          <w:rFonts w:hint="eastAsia" w:eastAsia="宋体"/>
        </w:rPr>
        <w:t>五、</w:t>
      </w:r>
      <w:r>
        <w:rPr>
          <w:rFonts w:eastAsia="宋体"/>
        </w:rPr>
        <w:t>建设项目工程分析</w:t>
      </w:r>
    </w:p>
    <w:tbl>
      <w:tblPr>
        <w:tblStyle w:val="33"/>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37" w:hRule="atLeast"/>
        </w:trPr>
        <w:tc>
          <w:tcPr>
            <w:tcW w:w="8364" w:type="dxa"/>
            <w:tcBorders>
              <w:bottom w:val="single" w:color="auto" w:sz="4" w:space="0"/>
            </w:tcBorders>
          </w:tcPr>
          <w:p>
            <w:pPr>
              <w:spacing w:line="360" w:lineRule="auto"/>
              <w:rPr>
                <w:b/>
                <w:sz w:val="24"/>
                <w:szCs w:val="24"/>
              </w:rPr>
            </w:pPr>
            <w:r>
              <w:rPr>
                <w:b/>
                <w:sz w:val="24"/>
                <w:szCs w:val="24"/>
              </w:rPr>
              <w:t>工艺流程简述（图示）：</w:t>
            </w:r>
          </w:p>
          <w:p>
            <w:pPr>
              <w:spacing w:line="360" w:lineRule="auto"/>
              <w:rPr>
                <w:sz w:val="24"/>
              </w:rPr>
            </w:pPr>
            <w:r>
              <w:rPr>
                <w:rFonts w:hint="eastAsia"/>
                <w:sz w:val="24"/>
              </w:rPr>
              <w:t>1、施工期</w:t>
            </w:r>
          </w:p>
          <w:p>
            <w:pPr>
              <w:spacing w:line="360" w:lineRule="auto"/>
              <w:ind w:firstLine="480" w:firstLineChars="200"/>
              <w:rPr>
                <w:sz w:val="24"/>
              </w:rPr>
            </w:pPr>
            <w:r>
              <w:rPr>
                <w:rFonts w:hint="eastAsia"/>
                <w:sz w:val="24"/>
              </w:rPr>
              <w:t>本项目租赁闲置厂房，且施工期已全部完成，本次环评对施工期不作分析。</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szCs w:val="24"/>
              </w:rPr>
            </w:pPr>
            <w:r>
              <w:rPr>
                <w:rFonts w:hint="eastAsia"/>
                <w:sz w:val="24"/>
                <w:szCs w:val="24"/>
              </w:rPr>
              <w:t>2、营运期</w:t>
            </w:r>
          </w:p>
          <w:p>
            <w:pPr>
              <w:spacing w:line="360" w:lineRule="auto"/>
              <w:ind w:firstLine="480" w:firstLineChars="200"/>
              <w:rPr>
                <w:sz w:val="24"/>
              </w:rPr>
            </w:pPr>
            <w:r>
              <w:rPr>
                <w:rFonts w:hint="eastAsia"/>
                <w:sz w:val="24"/>
              </w:rPr>
              <w:t>1、木质纤维粉生产工艺流程，见图5-1。</w:t>
            </w:r>
          </w:p>
          <w:p>
            <w:pPr>
              <w:pStyle w:val="2"/>
              <w:spacing w:before="0" w:after="0"/>
              <w:jc w:val="center"/>
              <w:rPr>
                <w:sz w:val="24"/>
              </w:rPr>
            </w:pPr>
            <w:r>
              <w:pict>
                <v:group id="画布 130" o:spid="_x0000_s1028" o:spt="203" style="position:absolute;left:0pt;margin-left:-5.15pt;margin-top:1.25pt;height:305.25pt;width:417.5pt;mso-wrap-distance-bottom:0pt;mso-wrap-distance-left:9pt;mso-wrap-distance-right:9pt;mso-wrap-distance-top:0pt;z-index:251709440;mso-width-relative:page;mso-height-relative:page;" coordorigin="1455,5081" coordsize="8350,6105" editas="canvas">
                  <o:lock v:ext="edit"/>
                  <v:shape id="画布 130" o:spid="_x0000_s6314" o:spt="75" type="#_x0000_t75" style="position:absolute;left:1455;top:5081;height:6105;width:8350;" filled="f" o:preferrelative="t" stroked="f" coordsize="21600,21600">
                    <v:path/>
                    <v:fill on="f" focussize="0,0"/>
                    <v:stroke on="f" weight="1.25pt" joinstyle="miter"/>
                    <v:imagedata o:title=""/>
                    <o:lock v:ext="edit" aspectratio="t"/>
                  </v:shape>
                  <v:shape id="文本框 132" o:spid="_x0000_s6315" o:spt="202" type="#_x0000_t202" style="position:absolute;left:8174;top:9663;height:1433;width:1106;" stroked="f" coordsize="21600,21600">
                    <v:path/>
                    <v:fill focussize="0,0"/>
                    <v:stroke on="f" weight="1.25pt" joinstyle="miter"/>
                    <v:imagedata o:title=""/>
                    <o:lock v:ext="edit"/>
                    <v:textbox inset="7.19992125984252pt,1.27mm,7.19992125984252pt,1.27mm">
                      <w:txbxContent>
                        <w:p>
                          <w:pPr>
                            <w:ind w:firstLine="105" w:firstLineChars="50"/>
                            <w:rPr>
                              <w:szCs w:val="21"/>
                            </w:rPr>
                          </w:pPr>
                          <w:r>
                            <w:rPr>
                              <w:rFonts w:hint="eastAsia"/>
                              <w:szCs w:val="21"/>
                            </w:rPr>
                            <w:t>图例</w:t>
                          </w:r>
                        </w:p>
                        <w:p>
                          <w:pPr>
                            <w:rPr>
                              <w:szCs w:val="21"/>
                            </w:rPr>
                          </w:pPr>
                          <w:r>
                            <w:rPr>
                              <w:szCs w:val="21"/>
                            </w:rPr>
                            <w:t>G-</w:t>
                          </w:r>
                          <w:r>
                            <w:rPr>
                              <w:rFonts w:hint="eastAsia"/>
                              <w:szCs w:val="21"/>
                            </w:rPr>
                            <w:t>废气</w:t>
                          </w:r>
                        </w:p>
                        <w:p>
                          <w:pPr>
                            <w:rPr>
                              <w:szCs w:val="21"/>
                            </w:rPr>
                          </w:pPr>
                          <w:r>
                            <w:rPr>
                              <w:szCs w:val="21"/>
                            </w:rPr>
                            <w:t>N-</w:t>
                          </w:r>
                          <w:r>
                            <w:rPr>
                              <w:rFonts w:hint="eastAsia"/>
                              <w:szCs w:val="21"/>
                            </w:rPr>
                            <w:t>噪声</w:t>
                          </w:r>
                        </w:p>
                        <w:p>
                          <w:pPr>
                            <w:rPr>
                              <w:rFonts w:ascii="Calibri" w:hAnsi="Calibri" w:cs="宋体"/>
                              <w:szCs w:val="21"/>
                            </w:rPr>
                          </w:pPr>
                          <w:r>
                            <w:rPr>
                              <w:szCs w:val="21"/>
                            </w:rPr>
                            <w:t>S-</w:t>
                          </w:r>
                          <w:r>
                            <w:rPr>
                              <w:rFonts w:hint="eastAsia"/>
                              <w:szCs w:val="21"/>
                            </w:rPr>
                            <w:t>固废</w:t>
                          </w:r>
                        </w:p>
                      </w:txbxContent>
                    </v:textbox>
                  </v:shape>
                  <v:shape id="自选图形 280" o:spid="_x0000_s6316" o:spt="109" type="#_x0000_t109" style="position:absolute;left:5347;top:5939;height:465;width:1360;" filled="f" coordsize="21600,21600">
                    <v:path/>
                    <v:fill on="f" focussize="0,0"/>
                    <v:stroke joinstyle="miter"/>
                    <v:imagedata o:title=""/>
                    <o:lock v:ext="edit"/>
                    <v:textbox>
                      <w:txbxContent>
                        <w:p>
                          <w:pPr>
                            <w:jc w:val="center"/>
                          </w:pPr>
                          <w:r>
                            <w:rPr>
                              <w:rFonts w:hint="eastAsia"/>
                            </w:rPr>
                            <w:t>反应锅干漂</w:t>
                          </w:r>
                          <w:r>
                            <w:t>ganpiao</w:t>
                          </w:r>
                        </w:p>
                      </w:txbxContent>
                    </v:textbox>
                  </v:shape>
                  <v:shape id="自选图形 280" o:spid="_x0000_s6317" o:spt="109" type="#_x0000_t109" style="position:absolute;left:5347;top:6847;height:465;width:1360;" filled="f" coordsize="21600,21600">
                    <v:path/>
                    <v:fill on="f" focussize="0,0"/>
                    <v:stroke joinstyle="miter"/>
                    <v:imagedata o:title=""/>
                    <o:lock v:ext="edit"/>
                    <v:textbox>
                      <w:txbxContent>
                        <w:p>
                          <w:pPr>
                            <w:jc w:val="center"/>
                          </w:pPr>
                          <w:r>
                            <w:rPr>
                              <w:rFonts w:hint="eastAsia" w:ascii="宋体" w:hAnsi="宋体"/>
                              <w:szCs w:val="21"/>
                            </w:rPr>
                            <w:t>自然晾干</w:t>
                          </w:r>
                        </w:p>
                      </w:txbxContent>
                    </v:textbox>
                  </v:shape>
                  <v:shape id="自选图形 280" o:spid="_x0000_s6318" o:spt="109" type="#_x0000_t109" style="position:absolute;left:5335;top:7720;height:466;width:1360;" filled="f" coordsize="21600,21600">
                    <v:path/>
                    <v:fill on="f" focussize="0,0"/>
                    <v:stroke joinstyle="miter"/>
                    <v:imagedata o:title=""/>
                    <o:lock v:ext="edit"/>
                    <v:textbox>
                      <w:txbxContent>
                        <w:p>
                          <w:pPr>
                            <w:jc w:val="center"/>
                          </w:pPr>
                          <w:r>
                            <w:rPr>
                              <w:rFonts w:hint="eastAsia" w:ascii="宋体" w:hAnsi="宋体"/>
                              <w:szCs w:val="21"/>
                            </w:rPr>
                            <w:t>粉碎</w:t>
                          </w:r>
                        </w:p>
                      </w:txbxContent>
                    </v:textbox>
                  </v:shape>
                  <v:shape id="自选图形 280" o:spid="_x0000_s6319" o:spt="109" type="#_x0000_t109" style="position:absolute;left:5347;top:9468;height:465;width:1360;" filled="f" coordsize="21600,21600">
                    <v:path/>
                    <v:fill on="f" focussize="0,0"/>
                    <v:stroke joinstyle="miter"/>
                    <v:imagedata o:title=""/>
                    <o:lock v:ext="edit"/>
                    <v:textbox>
                      <w:txbxContent>
                        <w:p>
                          <w:pPr>
                            <w:jc w:val="center"/>
                            <w:rPr>
                              <w:rFonts w:ascii="宋体" w:hAnsi="宋体"/>
                              <w:szCs w:val="21"/>
                            </w:rPr>
                          </w:pPr>
                          <w:r>
                            <w:rPr>
                              <w:rFonts w:hint="eastAsia" w:ascii="宋体" w:hAnsi="宋体"/>
                              <w:szCs w:val="21"/>
                            </w:rPr>
                            <w:t>打包</w:t>
                          </w:r>
                        </w:p>
                      </w:txbxContent>
                    </v:textbox>
                  </v:shape>
                  <v:shape id="自选图形 280" o:spid="_x0000_s6320" o:spt="109" type="#_x0000_t109" style="position:absolute;left:5266;top:5081;height:488;width:1478;" filled="f" stroked="f" coordsize="21600,21600">
                    <v:path/>
                    <v:fill on="f" focussize="0,0"/>
                    <v:stroke on="f" joinstyle="miter"/>
                    <v:imagedata o:title=""/>
                    <o:lock v:ext="edit"/>
                    <v:textbox>
                      <w:txbxContent>
                        <w:p>
                          <w:pPr>
                            <w:jc w:val="center"/>
                          </w:pPr>
                          <w:r>
                            <w:rPr>
                              <w:rFonts w:hint="eastAsia" w:ascii="宋体" w:hAnsi="宋体"/>
                              <w:szCs w:val="21"/>
                            </w:rPr>
                            <w:t>木粉</w:t>
                          </w:r>
                        </w:p>
                      </w:txbxContent>
                    </v:textbox>
                  </v:shape>
                  <v:shape id="自选图形 300" o:spid="_x0000_s6321" o:spt="109" type="#_x0000_t109" style="position:absolute;left:6775;top:7387;height:462;width:1314;" filled="f" stroked="f" coordsize="21600,21600">
                    <v:path/>
                    <v:fill on="f" focussize="0,0"/>
                    <v:stroke on="f" weight="1.25pt" joinstyle="miter"/>
                    <v:imagedata o:title=""/>
                    <o:lock v:ext="edit"/>
                    <v:textbox>
                      <w:txbxContent>
                        <w:p>
                          <w:pPr>
                            <w:jc w:val="center"/>
                            <w:rPr>
                              <w:szCs w:val="21"/>
                            </w:rPr>
                          </w:pPr>
                          <w:r>
                            <w:rPr>
                              <w:szCs w:val="21"/>
                            </w:rPr>
                            <w:t>N</w:t>
                          </w:r>
                          <w:r>
                            <w:rPr>
                              <w:szCs w:val="21"/>
                              <w:vertAlign w:val="subscript"/>
                            </w:rPr>
                            <w:t>2</w:t>
                          </w:r>
                        </w:p>
                      </w:txbxContent>
                    </v:textbox>
                  </v:shape>
                  <v:shape id="自选图形 301" o:spid="_x0000_s6322" o:spt="38" type="#_x0000_t38" style="position:absolute;left:6656;top:7603;flip:y;height:358;width:504;rotation:11796480f;" filled="f" coordsize="21600,21600" adj="10800">
                    <v:path arrowok="t"/>
                    <v:fill on="f" focussize="0,0"/>
                    <v:stroke dashstyle="dash" startarrow="classic"/>
                    <v:imagedata o:title=""/>
                    <o:lock v:ext="edit"/>
                  </v:shape>
                  <v:line id="直线 109" o:spid="_x0000_s6323" o:spt="20" style="position:absolute;left:6005;top:6422;flip:x y;height:407;width:1;" coordsize="21600,21600">
                    <v:path arrowok="t"/>
                    <v:fill focussize="0,0"/>
                    <v:stroke startarrow="block"/>
                    <v:imagedata o:title=""/>
                    <o:lock v:ext="edit"/>
                  </v:line>
                  <v:line id="直线 109" o:spid="_x0000_s6324" o:spt="20" style="position:absolute;left:6037;top:7300;flip:x y;height:407;width:1;" coordsize="21600,21600">
                    <v:path arrowok="t"/>
                    <v:fill focussize="0,0"/>
                    <v:stroke startarrow="block"/>
                    <v:imagedata o:title=""/>
                    <o:lock v:ext="edit"/>
                  </v:line>
                  <v:line id="直线 109" o:spid="_x0000_s6325" o:spt="20" style="position:absolute;left:6031;top:9061;flip:x y;height:407;width:1;" coordsize="21600,21600">
                    <v:path arrowok="t"/>
                    <v:fill focussize="0,0"/>
                    <v:stroke startarrow="block"/>
                    <v:imagedata o:title=""/>
                    <o:lock v:ext="edit"/>
                  </v:line>
                  <v:line id="直线 109" o:spid="_x0000_s6326" o:spt="20" style="position:absolute;left:6018;top:9936;flip:x y;height:407;width:1;" coordsize="21600,21600">
                    <v:path arrowok="t"/>
                    <v:fill focussize="0,0"/>
                    <v:stroke startarrow="block"/>
                    <v:imagedata o:title=""/>
                    <o:lock v:ext="edit"/>
                  </v:line>
                  <v:shape id="自选图形 280" o:spid="_x0000_s6327" o:spt="109" type="#_x0000_t109" style="position:absolute;left:5313;top:10358;height:465;width:1360;" filled="f" coordsize="21600,21600">
                    <v:path/>
                    <v:fill on="f" focussize="0,0"/>
                    <v:stroke joinstyle="miter"/>
                    <v:imagedata o:title=""/>
                    <o:lock v:ext="edit"/>
                    <v:textbox>
                      <w:txbxContent>
                        <w:p>
                          <w:pPr>
                            <w:jc w:val="center"/>
                            <w:rPr>
                              <w:rFonts w:ascii="宋体" w:hAnsi="宋体"/>
                              <w:szCs w:val="21"/>
                            </w:rPr>
                          </w:pPr>
                          <w:r>
                            <w:rPr>
                              <w:rFonts w:hint="eastAsia" w:ascii="宋体" w:hAnsi="宋体"/>
                              <w:szCs w:val="21"/>
                            </w:rPr>
                            <w:t>成品入库</w:t>
                          </w:r>
                        </w:p>
                        <w:p>
                          <w:pPr>
                            <w:jc w:val="center"/>
                            <w:rPr>
                              <w:rFonts w:ascii="Calibri" w:hAnsi="Calibri"/>
                              <w:szCs w:val="22"/>
                            </w:rPr>
                          </w:pPr>
                        </w:p>
                      </w:txbxContent>
                    </v:textbox>
                  </v:shape>
                  <v:shape id="自选图形 280" o:spid="_x0000_s6328" o:spt="109" type="#_x0000_t109" style="position:absolute;left:3200;top:5817;height:787;width:1792;" filled="f" stroked="f" coordsize="21600,21600">
                    <v:path/>
                    <v:fill on="f" focussize="0,0"/>
                    <v:stroke on="f" joinstyle="miter"/>
                    <v:imagedata o:title=""/>
                    <o:lock v:ext="edit"/>
                    <v:textbox>
                      <w:txbxContent>
                        <w:p>
                          <w:pPr>
                            <w:jc w:val="center"/>
                            <w:rPr>
                              <w:rFonts w:ascii="宋体" w:hAnsi="宋体"/>
                            </w:rPr>
                          </w:pPr>
                          <w:r>
                            <w:rPr>
                              <w:rFonts w:hint="eastAsia" w:ascii="宋体" w:hAnsi="宋体"/>
                            </w:rPr>
                            <w:t>双氧水、</w:t>
                          </w:r>
                          <w:r>
                            <w:rPr>
                              <w:rFonts w:hint="eastAsia" w:ascii="宋体" w:hAnsi="宋体"/>
                              <w:lang w:val="en-US" w:eastAsia="zh-CN"/>
                            </w:rPr>
                            <w:t>NaOH</w:t>
                          </w:r>
                          <w:r>
                            <w:rPr>
                              <w:rFonts w:hint="eastAsia" w:ascii="宋体" w:hAnsi="宋体"/>
                            </w:rPr>
                            <w:t>、水</w:t>
                          </w:r>
                        </w:p>
                      </w:txbxContent>
                    </v:textbox>
                  </v:shape>
                  <v:shape id="自选图形 272" o:spid="_x0000_s6329" o:spt="32" type="#_x0000_t32" style="position:absolute;left:4837;top:6147;height:1;width:519;" filled="f" coordsize="21600,21600">
                    <v:path arrowok="t"/>
                    <v:fill on="f" focussize="0,0"/>
                    <v:stroke endarrow="classic"/>
                    <v:imagedata o:title=""/>
                    <o:lock v:ext="edit"/>
                  </v:shape>
                  <v:shape id="自选图形 301" o:spid="_x0000_s6330" o:spt="38" type="#_x0000_t38" style="position:absolute;left:6707;top:5854;flip:y;height:358;width:504;rotation:11796480f;" filled="f" coordsize="21600,21600" adj="10800">
                    <v:path arrowok="t"/>
                    <v:fill on="f" focussize="0,0"/>
                    <v:stroke dashstyle="dash" startarrow="classic"/>
                    <v:imagedata o:title=""/>
                    <o:lock v:ext="edit"/>
                  </v:shape>
                  <v:shape id="自选图形 300" o:spid="_x0000_s6331" o:spt="109" type="#_x0000_t109" style="position:absolute;left:7085;top:5636;height:462;width:1797;" filled="f" stroked="f" coordsize="21600,21600">
                    <v:path/>
                    <v:fill on="f" focussize="0,0"/>
                    <v:stroke on="f" weight="1.25pt" joinstyle="miter"/>
                    <v:imagedata o:title=""/>
                    <o:lock v:ext="edit"/>
                    <v:textbox>
                      <w:txbxContent>
                        <w:p>
                          <w:pPr>
                            <w:jc w:val="center"/>
                            <w:rPr>
                              <w:szCs w:val="21"/>
                            </w:rPr>
                          </w:pPr>
                          <w:r>
                            <w:rPr>
                              <w:szCs w:val="21"/>
                            </w:rPr>
                            <w:t>G</w:t>
                          </w:r>
                          <w:r>
                            <w:rPr>
                              <w:szCs w:val="21"/>
                              <w:vertAlign w:val="subscript"/>
                            </w:rPr>
                            <w:t>1</w:t>
                          </w:r>
                          <w:r>
                            <w:rPr>
                              <w:rFonts w:hint="eastAsia"/>
                              <w:szCs w:val="21"/>
                            </w:rPr>
                            <w:t>、</w:t>
                          </w:r>
                          <w:r>
                            <w:rPr>
                              <w:szCs w:val="21"/>
                            </w:rPr>
                            <w:t>N</w:t>
                          </w:r>
                          <w:r>
                            <w:rPr>
                              <w:szCs w:val="21"/>
                              <w:vertAlign w:val="subscript"/>
                            </w:rPr>
                            <w:t>1</w:t>
                          </w:r>
                        </w:p>
                        <w:p>
                          <w:pPr>
                            <w:jc w:val="center"/>
                            <w:rPr>
                              <w:rFonts w:ascii="Calibri" w:hAnsi="Calibri"/>
                              <w:szCs w:val="21"/>
                            </w:rPr>
                          </w:pPr>
                        </w:p>
                      </w:txbxContent>
                    </v:textbox>
                  </v:shape>
                  <v:line id="直线 109" o:spid="_x0000_s6332" o:spt="20" style="position:absolute;left:5998;top:5468;flip:x y;height:480;width:1;" coordsize="21600,21600">
                    <v:path arrowok="t"/>
                    <v:fill focussize="0,0"/>
                    <v:stroke startarrow="block"/>
                    <v:imagedata o:title=""/>
                    <o:lock v:ext="edit"/>
                  </v:line>
                  <v:line id="直线 109" o:spid="_x0000_s6333" o:spt="20" style="position:absolute;left:6034;top:8183;flip:x y;height:400;width:0;" coordsize="21600,21600">
                    <v:path arrowok="t"/>
                    <v:fill focussize="0,0"/>
                    <v:stroke startarrow="block"/>
                    <v:imagedata o:title=""/>
                    <o:lock v:ext="edit"/>
                  </v:line>
                  <v:shape id="自选图形 280" o:spid="_x0000_s6334" o:spt="109" type="#_x0000_t109" style="position:absolute;left:5326;top:8588;height:460;width:1360;" filled="f" coordsize="21600,21600">
                    <v:path/>
                    <v:fill on="f" focussize="0,0"/>
                    <v:stroke joinstyle="miter"/>
                    <v:imagedata o:title=""/>
                    <o:lock v:ext="edit"/>
                    <v:textbox>
                      <w:txbxContent>
                        <w:p>
                          <w:pPr>
                            <w:jc w:val="center"/>
                            <w:rPr>
                              <w:rFonts w:ascii="宋体" w:hAnsi="宋体"/>
                              <w:szCs w:val="21"/>
                            </w:rPr>
                          </w:pPr>
                          <w:r>
                            <w:rPr>
                              <w:rFonts w:hint="eastAsia" w:ascii="宋体" w:hAnsi="宋体"/>
                              <w:szCs w:val="21"/>
                            </w:rPr>
                            <w:t>筛分</w:t>
                          </w:r>
                        </w:p>
                      </w:txbxContent>
                    </v:textbox>
                  </v:shape>
                  <v:shape id="自选图形 301" o:spid="_x0000_s6335" o:spt="38" type="#_x0000_t38" style="position:absolute;left:6682;top:8459;flip:y;height:340;width:500;rotation:11796480f;" filled="f" coordsize="21600,21600" adj="10800">
                    <v:path arrowok="t"/>
                    <v:fill on="f" focussize="0,0"/>
                    <v:stroke dashstyle="dash" startarrow="classic"/>
                    <v:imagedata o:title=""/>
                    <o:lock v:ext="edit"/>
                  </v:shape>
                  <v:shape id="自选图形 300" o:spid="_x0000_s6336" o:spt="109" type="#_x0000_t109" style="position:absolute;left:6991;top:8207;height:460;width:1300;" filled="f" stroked="f" coordsize="21600,21600">
                    <v:path/>
                    <v:fill on="f" focussize="0,0"/>
                    <v:stroke on="f" weight="1.25pt" joinstyle="miter"/>
                    <v:imagedata o:title=""/>
                    <o:lock v:ext="edit"/>
                    <v:textbox>
                      <w:txbxContent>
                        <w:p>
                          <w:pPr>
                            <w:jc w:val="center"/>
                            <w:rPr>
                              <w:szCs w:val="21"/>
                            </w:rPr>
                          </w:pPr>
                          <w:r>
                            <w:rPr>
                              <w:szCs w:val="21"/>
                            </w:rPr>
                            <w:t>G</w:t>
                          </w:r>
                          <w:r>
                            <w:rPr>
                              <w:rFonts w:hint="eastAsia"/>
                              <w:szCs w:val="21"/>
                              <w:vertAlign w:val="subscript"/>
                              <w:lang w:val="en-US" w:eastAsia="zh-CN"/>
                            </w:rPr>
                            <w:t>2</w:t>
                          </w:r>
                          <w:r>
                            <w:rPr>
                              <w:rFonts w:hint="eastAsia"/>
                              <w:szCs w:val="21"/>
                            </w:rPr>
                            <w:t>、</w:t>
                          </w:r>
                          <w:r>
                            <w:rPr>
                              <w:szCs w:val="21"/>
                            </w:rPr>
                            <w:t>N</w:t>
                          </w:r>
                          <w:r>
                            <w:rPr>
                              <w:szCs w:val="21"/>
                              <w:vertAlign w:val="subscript"/>
                            </w:rPr>
                            <w:t>3</w:t>
                          </w:r>
                        </w:p>
                      </w:txbxContent>
                    </v:textbox>
                  </v:shape>
                  <w10:wrap type="square"/>
                </v:group>
              </w:pict>
            </w:r>
            <w:r>
              <w:rPr>
                <w:rFonts w:hint="eastAsia"/>
                <w:sz w:val="24"/>
              </w:rPr>
              <w:t>图</w:t>
            </w:r>
            <w:r>
              <w:rPr>
                <w:sz w:val="24"/>
              </w:rPr>
              <w:t xml:space="preserve">5-1  </w:t>
            </w:r>
            <w:r>
              <w:rPr>
                <w:rFonts w:hint="eastAsia"/>
                <w:sz w:val="24"/>
                <w:szCs w:val="24"/>
              </w:rPr>
              <w:t>木质纤维粉生产</w:t>
            </w:r>
            <w:r>
              <w:rPr>
                <w:rFonts w:hint="eastAsia"/>
                <w:sz w:val="24"/>
              </w:rPr>
              <w:t>工艺及产污环节流程图</w:t>
            </w:r>
          </w:p>
          <w:p>
            <w:pPr>
              <w:spacing w:line="360" w:lineRule="auto"/>
              <w:ind w:firstLine="480" w:firstLineChars="200"/>
              <w:rPr>
                <w:b/>
                <w:sz w:val="24"/>
              </w:rPr>
            </w:pPr>
            <w:r>
              <w:rPr>
                <w:rFonts w:hint="eastAsia"/>
                <w:sz w:val="24"/>
              </w:rPr>
              <w:t>2、建设项目生产工艺流程及产污环节简述</w:t>
            </w:r>
          </w:p>
          <w:p>
            <w:pPr>
              <w:numPr>
                <w:ilvl w:val="0"/>
                <w:numId w:val="4"/>
              </w:numPr>
              <w:tabs>
                <w:tab w:val="left" w:pos="2846"/>
                <w:tab w:val="left" w:pos="4382"/>
                <w:tab w:val="left" w:pos="4451"/>
                <w:tab w:val="left" w:pos="6056"/>
              </w:tabs>
              <w:spacing w:line="360" w:lineRule="auto"/>
              <w:ind w:firstLine="480" w:firstLineChars="200"/>
              <w:rPr>
                <w:sz w:val="24"/>
                <w:szCs w:val="24"/>
              </w:rPr>
            </w:pPr>
            <w:r>
              <w:rPr>
                <w:rFonts w:hint="eastAsia"/>
                <w:sz w:val="24"/>
                <w:szCs w:val="24"/>
              </w:rPr>
              <w:t>反应锅干漂：生产车间内设置有一个直径为</w:t>
            </w:r>
            <w:r>
              <w:rPr>
                <w:rFonts w:hint="eastAsia"/>
                <w:sz w:val="24"/>
                <w:szCs w:val="24"/>
                <w:lang w:val="en-US" w:eastAsia="zh-CN"/>
              </w:rPr>
              <w:t>1.8</w:t>
            </w:r>
            <w:r>
              <w:rPr>
                <w:sz w:val="24"/>
                <w:szCs w:val="24"/>
              </w:rPr>
              <w:t>m</w:t>
            </w:r>
            <w:r>
              <w:rPr>
                <w:rFonts w:hint="eastAsia"/>
                <w:sz w:val="24"/>
                <w:szCs w:val="24"/>
              </w:rPr>
              <w:t>，深度为</w:t>
            </w:r>
            <w:r>
              <w:rPr>
                <w:rFonts w:hint="eastAsia"/>
                <w:sz w:val="24"/>
                <w:szCs w:val="24"/>
                <w:lang w:val="en-US" w:eastAsia="zh-CN"/>
              </w:rPr>
              <w:t>1.8</w:t>
            </w:r>
            <w:r>
              <w:rPr>
                <w:sz w:val="24"/>
                <w:szCs w:val="24"/>
              </w:rPr>
              <w:t>m</w:t>
            </w:r>
            <w:r>
              <w:rPr>
                <w:rFonts w:hint="eastAsia"/>
                <w:sz w:val="24"/>
                <w:szCs w:val="24"/>
              </w:rPr>
              <w:t>的反应锅，将外购木粉加入反应锅内，过程中每个反应锅需同时加入</w:t>
            </w:r>
            <w:r>
              <w:rPr>
                <w:sz w:val="24"/>
                <w:szCs w:val="24"/>
              </w:rPr>
              <w:t>0.08t</w:t>
            </w:r>
            <w:r>
              <w:rPr>
                <w:rFonts w:hint="eastAsia"/>
                <w:sz w:val="24"/>
                <w:szCs w:val="24"/>
              </w:rPr>
              <w:t>双氧水、</w:t>
            </w:r>
            <w:r>
              <w:rPr>
                <w:sz w:val="24"/>
                <w:szCs w:val="24"/>
              </w:rPr>
              <w:t>0.02t</w:t>
            </w:r>
            <w:r>
              <w:rPr>
                <w:rFonts w:hint="eastAsia"/>
                <w:sz w:val="24"/>
                <w:szCs w:val="24"/>
                <w:lang w:val="en-US" w:eastAsia="zh-CN"/>
              </w:rPr>
              <w:t>NaOH</w:t>
            </w:r>
            <w:r>
              <w:rPr>
                <w:rFonts w:hint="eastAsia"/>
                <w:sz w:val="24"/>
                <w:szCs w:val="24"/>
              </w:rPr>
              <w:t>和</w:t>
            </w:r>
            <w:r>
              <w:rPr>
                <w:sz w:val="24"/>
                <w:szCs w:val="24"/>
              </w:rPr>
              <w:t>0.015t</w:t>
            </w:r>
            <w:r>
              <w:rPr>
                <w:rFonts w:hint="eastAsia"/>
                <w:sz w:val="24"/>
                <w:szCs w:val="24"/>
              </w:rPr>
              <w:t>水（用于稀释）与</w:t>
            </w:r>
            <w:r>
              <w:rPr>
                <w:sz w:val="24"/>
                <w:szCs w:val="24"/>
              </w:rPr>
              <w:t>0.5t</w:t>
            </w:r>
            <w:r>
              <w:rPr>
                <w:rFonts w:hint="eastAsia"/>
                <w:sz w:val="24"/>
                <w:szCs w:val="24"/>
              </w:rPr>
              <w:t>木粉共同反应漂白木粉，此过程为放热反应不需要采用外部加热。干漂过程中锅内温度可达到</w:t>
            </w:r>
            <w:r>
              <w:rPr>
                <w:sz w:val="24"/>
                <w:szCs w:val="24"/>
              </w:rPr>
              <w:t>50</w:t>
            </w:r>
            <w:r>
              <w:rPr>
                <w:rFonts w:hint="eastAsia"/>
                <w:sz w:val="24"/>
                <w:szCs w:val="24"/>
              </w:rPr>
              <w:t>～</w:t>
            </w:r>
            <w:r>
              <w:rPr>
                <w:sz w:val="24"/>
                <w:szCs w:val="24"/>
              </w:rPr>
              <w:t>60</w:t>
            </w:r>
            <w:r>
              <w:rPr>
                <w:rFonts w:hint="eastAsia"/>
                <w:sz w:val="24"/>
                <w:szCs w:val="24"/>
              </w:rPr>
              <w:t>℃，单次投料量为</w:t>
            </w:r>
            <w:r>
              <w:rPr>
                <w:sz w:val="24"/>
                <w:szCs w:val="24"/>
              </w:rPr>
              <w:t>400</w:t>
            </w:r>
            <w:r>
              <w:rPr>
                <w:rFonts w:hint="eastAsia"/>
                <w:sz w:val="24"/>
                <w:szCs w:val="24"/>
              </w:rPr>
              <w:t>～</w:t>
            </w:r>
            <w:r>
              <w:rPr>
                <w:sz w:val="24"/>
                <w:szCs w:val="24"/>
              </w:rPr>
              <w:t>500kg</w:t>
            </w:r>
            <w:r>
              <w:rPr>
                <w:rFonts w:hint="eastAsia"/>
                <w:sz w:val="24"/>
                <w:szCs w:val="24"/>
              </w:rPr>
              <w:t>。在此过程中会产生噪声（</w:t>
            </w:r>
            <w:r>
              <w:rPr>
                <w:sz w:val="24"/>
                <w:szCs w:val="24"/>
              </w:rPr>
              <w:t>N</w:t>
            </w:r>
            <w:r>
              <w:rPr>
                <w:sz w:val="24"/>
                <w:szCs w:val="24"/>
                <w:vertAlign w:val="subscript"/>
              </w:rPr>
              <w:t>1</w:t>
            </w:r>
            <w:r>
              <w:rPr>
                <w:rFonts w:hint="eastAsia"/>
                <w:sz w:val="24"/>
                <w:szCs w:val="24"/>
              </w:rPr>
              <w:t>）及少量粉尘（</w:t>
            </w:r>
            <w:r>
              <w:rPr>
                <w:sz w:val="24"/>
                <w:szCs w:val="24"/>
              </w:rPr>
              <w:t>G</w:t>
            </w:r>
            <w:r>
              <w:rPr>
                <w:rFonts w:hint="eastAsia"/>
                <w:sz w:val="24"/>
                <w:szCs w:val="24"/>
                <w:vertAlign w:val="subscript"/>
                <w:lang w:val="en-US" w:eastAsia="zh-CN"/>
              </w:rPr>
              <w:t>1</w:t>
            </w:r>
            <w:r>
              <w:rPr>
                <w:rFonts w:hint="eastAsia"/>
                <w:sz w:val="24"/>
                <w:szCs w:val="24"/>
              </w:rPr>
              <w:t>）；</w:t>
            </w:r>
          </w:p>
          <w:p>
            <w:pPr>
              <w:numPr>
                <w:ilvl w:val="0"/>
                <w:numId w:val="4"/>
              </w:numPr>
              <w:tabs>
                <w:tab w:val="left" w:pos="2846"/>
                <w:tab w:val="left" w:pos="4382"/>
                <w:tab w:val="left" w:pos="4451"/>
                <w:tab w:val="left" w:pos="6056"/>
              </w:tabs>
              <w:spacing w:line="360" w:lineRule="auto"/>
              <w:ind w:firstLine="480" w:firstLineChars="200"/>
              <w:rPr>
                <w:sz w:val="24"/>
                <w:szCs w:val="24"/>
              </w:rPr>
            </w:pPr>
            <w:r>
              <w:rPr>
                <w:rFonts w:hint="eastAsia"/>
                <w:sz w:val="24"/>
                <w:szCs w:val="24"/>
              </w:rPr>
              <w:t>自然晾干：将漂白后的木粉进行自然通风干燥；</w:t>
            </w:r>
          </w:p>
          <w:p>
            <w:pPr>
              <w:pStyle w:val="29"/>
              <w:numPr>
                <w:ilvl w:val="0"/>
                <w:numId w:val="4"/>
              </w:numPr>
              <w:spacing w:before="0" w:beforeAutospacing="0" w:after="0" w:afterAutospacing="0" w:line="360" w:lineRule="auto"/>
              <w:ind w:firstLine="480" w:firstLineChars="200"/>
              <w:jc w:val="both"/>
              <w:rPr>
                <w:rFonts w:ascii="Times New Roman" w:hAnsi="Times New Roman"/>
              </w:rPr>
            </w:pPr>
            <w:r>
              <w:rPr>
                <w:rFonts w:hint="eastAsia" w:ascii="Times New Roman" w:hAnsi="Times New Roman"/>
              </w:rPr>
              <w:t>粉碎：将自然晾干后的木粉用粉碎机进行粉碎处理，粉碎是在密闭设备内进行加工，运行期间设备内无粉尘溢出。此工序主要为设备运转时产生的噪声（</w:t>
            </w:r>
            <w:r>
              <w:rPr>
                <w:rFonts w:ascii="Times New Roman" w:hAnsi="Times New Roman"/>
              </w:rPr>
              <w:t>N</w:t>
            </w:r>
            <w:r>
              <w:rPr>
                <w:rFonts w:ascii="Times New Roman" w:hAnsi="Times New Roman"/>
                <w:vertAlign w:val="subscript"/>
              </w:rPr>
              <w:t>2</w:t>
            </w:r>
            <w:r>
              <w:rPr>
                <w:rFonts w:hint="eastAsia" w:ascii="Times New Roman" w:hAnsi="Times New Roman"/>
              </w:rPr>
              <w:t>）；</w:t>
            </w:r>
          </w:p>
          <w:p>
            <w:pPr>
              <w:pStyle w:val="29"/>
              <w:numPr>
                <w:ilvl w:val="0"/>
                <w:numId w:val="4"/>
              </w:numPr>
              <w:spacing w:before="0" w:beforeAutospacing="0" w:after="0" w:afterAutospacing="0" w:line="360" w:lineRule="auto"/>
              <w:ind w:firstLine="480" w:firstLineChars="200"/>
              <w:jc w:val="both"/>
              <w:rPr>
                <w:rFonts w:ascii="Times New Roman" w:hAnsi="Times New Roman"/>
              </w:rPr>
            </w:pPr>
            <w:r>
              <w:rPr>
                <w:rFonts w:hint="eastAsia" w:ascii="Times New Roman" w:hAnsi="Times New Roman"/>
              </w:rPr>
              <w:t>筛分：将粉碎后的木粉，送入筛粉机。此工序会产生噪声（</w:t>
            </w:r>
            <w:r>
              <w:rPr>
                <w:rFonts w:ascii="Times New Roman" w:hAnsi="Times New Roman"/>
              </w:rPr>
              <w:t>N</w:t>
            </w:r>
            <w:r>
              <w:rPr>
                <w:rFonts w:ascii="Times New Roman" w:hAnsi="Times New Roman"/>
                <w:vertAlign w:val="subscript"/>
              </w:rPr>
              <w:t>3</w:t>
            </w:r>
            <w:r>
              <w:rPr>
                <w:rFonts w:hint="eastAsia" w:ascii="Times New Roman" w:hAnsi="Times New Roman"/>
              </w:rPr>
              <w:t>）及粉尘（</w:t>
            </w:r>
            <w:r>
              <w:rPr>
                <w:rFonts w:ascii="Times New Roman" w:hAnsi="Times New Roman"/>
              </w:rPr>
              <w:t>G</w:t>
            </w:r>
            <w:r>
              <w:rPr>
                <w:rFonts w:hint="eastAsia" w:ascii="Times New Roman" w:hAnsi="Times New Roman"/>
                <w:vertAlign w:val="subscript"/>
                <w:lang w:val="en-US" w:eastAsia="zh-CN"/>
              </w:rPr>
              <w:t>2</w:t>
            </w:r>
            <w:r>
              <w:rPr>
                <w:rFonts w:hint="eastAsia" w:ascii="Times New Roman" w:hAnsi="Times New Roman"/>
              </w:rPr>
              <w:t>）；</w:t>
            </w:r>
          </w:p>
          <w:p>
            <w:pPr>
              <w:tabs>
                <w:tab w:val="left" w:pos="2846"/>
                <w:tab w:val="left" w:pos="4382"/>
                <w:tab w:val="left" w:pos="4451"/>
                <w:tab w:val="left" w:pos="6056"/>
              </w:tabs>
              <w:spacing w:line="360" w:lineRule="auto"/>
              <w:ind w:firstLine="480" w:firstLineChars="200"/>
              <w:rPr>
                <w:sz w:val="24"/>
                <w:szCs w:val="24"/>
              </w:rPr>
            </w:pPr>
            <w:r>
              <w:rPr>
                <w:rFonts w:hint="eastAsia"/>
                <w:sz w:val="24"/>
                <w:szCs w:val="24"/>
              </w:rPr>
              <w:t>（5）打包：对粉碎后的木粉进行打包；</w:t>
            </w:r>
          </w:p>
          <w:p>
            <w:pPr>
              <w:tabs>
                <w:tab w:val="left" w:pos="2846"/>
                <w:tab w:val="left" w:pos="4382"/>
                <w:tab w:val="left" w:pos="4451"/>
                <w:tab w:val="left" w:pos="6056"/>
              </w:tabs>
              <w:spacing w:line="360" w:lineRule="auto"/>
              <w:ind w:firstLine="480" w:firstLineChars="200"/>
              <w:rPr>
                <w:sz w:val="24"/>
                <w:szCs w:val="24"/>
              </w:rPr>
            </w:pPr>
            <w:r>
              <w:rPr>
                <w:rFonts w:hint="eastAsia"/>
                <w:sz w:val="24"/>
                <w:szCs w:val="24"/>
              </w:rPr>
              <w:t>（6）成品入库：成品木质纤维粉入库，待售。</w:t>
            </w:r>
          </w:p>
          <w:p>
            <w:pPr>
              <w:spacing w:line="360" w:lineRule="auto"/>
              <w:ind w:firstLine="480" w:firstLineChars="200"/>
              <w:rPr>
                <w:sz w:val="24"/>
                <w:szCs w:val="24"/>
              </w:rPr>
            </w:pPr>
            <w:r>
              <w:rPr>
                <w:rFonts w:hint="eastAsia"/>
                <w:sz w:val="24"/>
                <w:szCs w:val="24"/>
              </w:rPr>
              <w:t>本项目主要污染物产生环节汇总见表</w:t>
            </w:r>
            <w:r>
              <w:rPr>
                <w:sz w:val="24"/>
                <w:szCs w:val="24"/>
              </w:rPr>
              <w:t>5-1</w:t>
            </w:r>
            <w:r>
              <w:rPr>
                <w:rFonts w:hint="eastAsia"/>
                <w:sz w:val="24"/>
                <w:szCs w:val="24"/>
              </w:rPr>
              <w:t>。</w:t>
            </w:r>
          </w:p>
          <w:p>
            <w:pPr>
              <w:jc w:val="center"/>
              <w:rPr>
                <w:b/>
                <w:sz w:val="24"/>
                <w:szCs w:val="24"/>
              </w:rPr>
            </w:pPr>
            <w:r>
              <w:rPr>
                <w:rFonts w:hint="eastAsia"/>
                <w:b/>
                <w:sz w:val="24"/>
                <w:szCs w:val="24"/>
              </w:rPr>
              <w:t>表</w:t>
            </w:r>
            <w:r>
              <w:rPr>
                <w:b/>
                <w:sz w:val="24"/>
                <w:szCs w:val="24"/>
              </w:rPr>
              <w:t xml:space="preserve">5-1  </w:t>
            </w:r>
            <w:r>
              <w:rPr>
                <w:rFonts w:hint="eastAsia"/>
                <w:b/>
                <w:sz w:val="24"/>
                <w:szCs w:val="24"/>
              </w:rPr>
              <w:t>污染物产生环节汇总表</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623"/>
              <w:gridCol w:w="934"/>
              <w:gridCol w:w="1581"/>
              <w:gridCol w:w="1581"/>
              <w:gridCol w:w="34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90" w:hRule="atLeast"/>
                <w:tblHeader/>
                <w:jc w:val="center"/>
              </w:trPr>
              <w:tc>
                <w:tcPr>
                  <w:tcW w:w="382" w:type="pct"/>
                  <w:tcBorders>
                    <w:top w:val="single" w:color="auto" w:sz="12" w:space="0"/>
                    <w:left w:val="nil"/>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napToGrid w:val="0"/>
                    <w:jc w:val="center"/>
                    <w:rPr>
                      <w:b/>
                      <w:szCs w:val="21"/>
                    </w:rPr>
                  </w:pPr>
                  <w:r>
                    <w:rPr>
                      <w:rFonts w:hint="eastAsia"/>
                      <w:b/>
                      <w:szCs w:val="21"/>
                    </w:rPr>
                    <w:t>类别</w:t>
                  </w:r>
                </w:p>
              </w:tc>
              <w:tc>
                <w:tcPr>
                  <w:tcW w:w="573" w:type="pct"/>
                  <w:tcBorders>
                    <w:top w:val="single" w:color="auto" w:sz="12"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jc w:val="center"/>
                    <w:rPr>
                      <w:b/>
                      <w:szCs w:val="21"/>
                    </w:rPr>
                  </w:pPr>
                  <w:r>
                    <w:rPr>
                      <w:rFonts w:hint="eastAsia"/>
                      <w:b/>
                      <w:szCs w:val="21"/>
                    </w:rPr>
                    <w:t>代码</w:t>
                  </w:r>
                </w:p>
              </w:tc>
              <w:tc>
                <w:tcPr>
                  <w:tcW w:w="970" w:type="pct"/>
                  <w:tcBorders>
                    <w:top w:val="single" w:color="auto" w:sz="12"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napToGrid w:val="0"/>
                    <w:jc w:val="center"/>
                    <w:rPr>
                      <w:b/>
                      <w:szCs w:val="21"/>
                    </w:rPr>
                  </w:pPr>
                  <w:r>
                    <w:rPr>
                      <w:rFonts w:hint="eastAsia"/>
                      <w:b/>
                      <w:szCs w:val="21"/>
                    </w:rPr>
                    <w:t>产生工序、设备</w:t>
                  </w:r>
                </w:p>
              </w:tc>
              <w:tc>
                <w:tcPr>
                  <w:tcW w:w="970" w:type="pct"/>
                  <w:tcBorders>
                    <w:top w:val="single" w:color="auto" w:sz="12"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napToGrid w:val="0"/>
                    <w:jc w:val="center"/>
                    <w:rPr>
                      <w:b/>
                      <w:szCs w:val="21"/>
                    </w:rPr>
                  </w:pPr>
                  <w:r>
                    <w:rPr>
                      <w:rFonts w:hint="eastAsia"/>
                      <w:b/>
                      <w:szCs w:val="21"/>
                    </w:rPr>
                    <w:t>主要污染物</w:t>
                  </w:r>
                </w:p>
              </w:tc>
              <w:tc>
                <w:tcPr>
                  <w:tcW w:w="2103" w:type="pct"/>
                  <w:tcBorders>
                    <w:top w:val="single" w:color="auto" w:sz="12" w:space="0"/>
                    <w:left w:val="single" w:color="auto" w:sz="4" w:space="0"/>
                    <w:bottom w:val="single" w:color="auto" w:sz="4" w:space="0"/>
                    <w:right w:val="nil"/>
                  </w:tcBorders>
                  <w:tcMar>
                    <w:top w:w="0" w:type="dxa"/>
                    <w:left w:w="0" w:type="dxa"/>
                    <w:bottom w:w="0" w:type="dxa"/>
                    <w:right w:w="0" w:type="dxa"/>
                  </w:tcMar>
                  <w:vAlign w:val="center"/>
                </w:tcPr>
                <w:p>
                  <w:pPr>
                    <w:autoSpaceDE w:val="0"/>
                    <w:autoSpaceDN w:val="0"/>
                    <w:adjustRightInd w:val="0"/>
                    <w:snapToGrid w:val="0"/>
                    <w:jc w:val="center"/>
                    <w:rPr>
                      <w:b/>
                      <w:szCs w:val="21"/>
                    </w:rPr>
                  </w:pPr>
                  <w:r>
                    <w:rPr>
                      <w:rFonts w:hint="eastAsia"/>
                      <w:b/>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09" w:hRule="atLeast"/>
                <w:jc w:val="center"/>
              </w:trPr>
              <w:tc>
                <w:tcPr>
                  <w:tcW w:w="382" w:type="pct"/>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napToGrid w:val="0"/>
                    <w:jc w:val="center"/>
                    <w:rPr>
                      <w:szCs w:val="21"/>
                    </w:rPr>
                  </w:pPr>
                  <w:r>
                    <w:rPr>
                      <w:rFonts w:hint="eastAsia"/>
                      <w:szCs w:val="21"/>
                    </w:rPr>
                    <w:t>废气</w:t>
                  </w:r>
                </w:p>
              </w:tc>
              <w:tc>
                <w:tcPr>
                  <w:tcW w:w="573"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jc w:val="center"/>
                    <w:rPr>
                      <w:rFonts w:hint="eastAsia" w:ascii="Times New Roman" w:hAnsi="Times New Roman" w:eastAsia="宋体" w:cs="Times New Roman"/>
                      <w:bCs/>
                      <w:kern w:val="2"/>
                      <w:sz w:val="21"/>
                      <w:szCs w:val="21"/>
                      <w:lang w:val="en-US" w:eastAsia="zh-CN" w:bidi="ar-SA"/>
                    </w:rPr>
                  </w:pPr>
                  <w:r>
                    <w:rPr>
                      <w:szCs w:val="21"/>
                    </w:rPr>
                    <w:t>G</w:t>
                  </w:r>
                  <w:r>
                    <w:rPr>
                      <w:rFonts w:hint="eastAsia"/>
                      <w:szCs w:val="21"/>
                      <w:vertAlign w:val="subscript"/>
                      <w:lang w:val="en-US" w:eastAsia="zh-CN"/>
                    </w:rPr>
                    <w:t>1</w:t>
                  </w:r>
                  <w:r>
                    <w:rPr>
                      <w:rFonts w:hint="eastAsia"/>
                      <w:szCs w:val="21"/>
                    </w:rPr>
                    <w:t>、</w:t>
                  </w:r>
                  <w:r>
                    <w:rPr>
                      <w:szCs w:val="21"/>
                    </w:rPr>
                    <w:t>G</w:t>
                  </w:r>
                  <w:r>
                    <w:rPr>
                      <w:rFonts w:hint="eastAsia"/>
                      <w:szCs w:val="21"/>
                      <w:vertAlign w:val="subscript"/>
                      <w:lang w:val="en-US" w:eastAsia="zh-CN"/>
                    </w:rPr>
                    <w:t>2</w:t>
                  </w:r>
                </w:p>
              </w:tc>
              <w:tc>
                <w:tcPr>
                  <w:tcW w:w="970"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napToGrid w:val="0"/>
                    <w:jc w:val="center"/>
                    <w:rPr>
                      <w:rFonts w:ascii="Times New Roman" w:hAnsi="Times New Roman" w:eastAsia="宋体" w:cs="Times New Roman"/>
                      <w:kern w:val="2"/>
                      <w:sz w:val="21"/>
                      <w:szCs w:val="21"/>
                      <w:lang w:val="en-US" w:eastAsia="zh-CN" w:bidi="ar-SA"/>
                    </w:rPr>
                  </w:pPr>
                  <w:r>
                    <w:rPr>
                      <w:rFonts w:hint="eastAsia"/>
                      <w:szCs w:val="21"/>
                      <w:lang w:eastAsia="zh-CN"/>
                    </w:rPr>
                    <w:t>干漂</w:t>
                  </w:r>
                  <w:r>
                    <w:rPr>
                      <w:rFonts w:hint="eastAsia"/>
                      <w:szCs w:val="21"/>
                    </w:rPr>
                    <w:t>、筛分</w:t>
                  </w:r>
                </w:p>
              </w:tc>
              <w:tc>
                <w:tcPr>
                  <w:tcW w:w="970"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napToGrid w:val="0"/>
                    <w:jc w:val="center"/>
                    <w:rPr>
                      <w:rFonts w:ascii="Times New Roman" w:hAnsi="Times New Roman" w:eastAsia="宋体" w:cs="Times New Roman"/>
                      <w:kern w:val="2"/>
                      <w:sz w:val="21"/>
                      <w:szCs w:val="21"/>
                      <w:lang w:val="en-US" w:eastAsia="zh-CN" w:bidi="ar-SA"/>
                    </w:rPr>
                  </w:pPr>
                  <w:r>
                    <w:rPr>
                      <w:rFonts w:hint="eastAsia"/>
                      <w:szCs w:val="21"/>
                    </w:rPr>
                    <w:t>粉尘</w:t>
                  </w:r>
                </w:p>
              </w:tc>
              <w:tc>
                <w:tcPr>
                  <w:tcW w:w="2103" w:type="pct"/>
                  <w:tcBorders>
                    <w:top w:val="single" w:color="auto" w:sz="4" w:space="0"/>
                    <w:left w:val="single" w:color="auto" w:sz="4" w:space="0"/>
                    <w:bottom w:val="single" w:color="auto" w:sz="4" w:space="0"/>
                    <w:right w:val="nil"/>
                  </w:tcBorders>
                  <w:tcMar>
                    <w:top w:w="0" w:type="dxa"/>
                    <w:left w:w="0" w:type="dxa"/>
                    <w:bottom w:w="0" w:type="dxa"/>
                    <w:right w:w="0" w:type="dxa"/>
                  </w:tcMar>
                  <w:vAlign w:val="center"/>
                </w:tcPr>
                <w:p>
                  <w:pPr>
                    <w:autoSpaceDE w:val="0"/>
                    <w:autoSpaceDN w:val="0"/>
                    <w:adjustRightInd w:val="0"/>
                    <w:snapToGrid w:val="0"/>
                    <w:jc w:val="center"/>
                    <w:rPr>
                      <w:rFonts w:ascii="Times New Roman" w:hAnsi="Times New Roman" w:eastAsia="宋体" w:cs="Times New Roman"/>
                      <w:kern w:val="2"/>
                      <w:sz w:val="21"/>
                      <w:szCs w:val="21"/>
                      <w:lang w:val="en-US" w:eastAsia="zh-CN" w:bidi="ar-SA"/>
                    </w:rPr>
                  </w:pPr>
                  <w:r>
                    <w:rPr>
                      <w:rFonts w:hint="eastAsia"/>
                      <w:szCs w:val="21"/>
                    </w:rPr>
                    <w:t>经集气罩收集，通过布袋除尘器处理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406" w:hRule="atLeast"/>
                <w:jc w:val="center"/>
              </w:trPr>
              <w:tc>
                <w:tcPr>
                  <w:tcW w:w="382" w:type="pct"/>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napToGrid w:val="0"/>
                    <w:jc w:val="center"/>
                    <w:rPr>
                      <w:szCs w:val="21"/>
                    </w:rPr>
                  </w:pPr>
                  <w:r>
                    <w:rPr>
                      <w:rFonts w:hint="eastAsia"/>
                      <w:szCs w:val="21"/>
                    </w:rPr>
                    <w:t>噪声</w:t>
                  </w:r>
                </w:p>
              </w:tc>
              <w:tc>
                <w:tcPr>
                  <w:tcW w:w="573"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jc w:val="center"/>
                    <w:rPr>
                      <w:bCs/>
                      <w:szCs w:val="21"/>
                    </w:rPr>
                  </w:pPr>
                  <w:r>
                    <w:rPr>
                      <w:szCs w:val="21"/>
                    </w:rPr>
                    <w:t>N</w:t>
                  </w:r>
                  <w:r>
                    <w:rPr>
                      <w:szCs w:val="21"/>
                      <w:vertAlign w:val="subscript"/>
                    </w:rPr>
                    <w:t>1</w:t>
                  </w:r>
                  <w:r>
                    <w:rPr>
                      <w:rFonts w:hint="eastAsia"/>
                      <w:szCs w:val="21"/>
                    </w:rPr>
                    <w:t>、</w:t>
                  </w:r>
                  <w:r>
                    <w:rPr>
                      <w:szCs w:val="21"/>
                    </w:rPr>
                    <w:t>N</w:t>
                  </w:r>
                  <w:r>
                    <w:rPr>
                      <w:szCs w:val="21"/>
                      <w:vertAlign w:val="subscript"/>
                    </w:rPr>
                    <w:t>2</w:t>
                  </w:r>
                  <w:r>
                    <w:rPr>
                      <w:rFonts w:hint="eastAsia"/>
                      <w:szCs w:val="21"/>
                    </w:rPr>
                    <w:t>、</w:t>
                  </w:r>
                  <w:r>
                    <w:rPr>
                      <w:szCs w:val="21"/>
                    </w:rPr>
                    <w:t>N</w:t>
                  </w:r>
                  <w:r>
                    <w:rPr>
                      <w:szCs w:val="21"/>
                      <w:vertAlign w:val="subscript"/>
                    </w:rPr>
                    <w:t>3</w:t>
                  </w:r>
                </w:p>
              </w:tc>
              <w:tc>
                <w:tcPr>
                  <w:tcW w:w="970"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jc w:val="center"/>
                    <w:rPr>
                      <w:szCs w:val="21"/>
                    </w:rPr>
                  </w:pPr>
                  <w:r>
                    <w:rPr>
                      <w:rFonts w:hint="eastAsia"/>
                      <w:szCs w:val="21"/>
                    </w:rPr>
                    <w:t>进料、</w:t>
                  </w:r>
                  <w:r>
                    <w:rPr>
                      <w:rFonts w:hint="eastAsia"/>
                      <w:szCs w:val="21"/>
                      <w:lang w:eastAsia="zh-CN"/>
                    </w:rPr>
                    <w:t>干漂</w:t>
                  </w:r>
                  <w:r>
                    <w:rPr>
                      <w:rFonts w:hint="eastAsia"/>
                      <w:szCs w:val="21"/>
                    </w:rPr>
                    <w:t>、筛分</w:t>
                  </w:r>
                </w:p>
              </w:tc>
              <w:tc>
                <w:tcPr>
                  <w:tcW w:w="970" w:type="pc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jc w:val="center"/>
                    <w:rPr>
                      <w:szCs w:val="21"/>
                    </w:rPr>
                  </w:pPr>
                  <w:r>
                    <w:rPr>
                      <w:szCs w:val="21"/>
                    </w:rPr>
                    <w:t>Leq</w:t>
                  </w:r>
                </w:p>
              </w:tc>
              <w:tc>
                <w:tcPr>
                  <w:tcW w:w="2103" w:type="pct"/>
                  <w:tcBorders>
                    <w:top w:val="single" w:color="auto" w:sz="4" w:space="0"/>
                    <w:left w:val="single" w:color="auto" w:sz="4" w:space="0"/>
                    <w:bottom w:val="single" w:color="auto" w:sz="4" w:space="0"/>
                    <w:right w:val="nil"/>
                  </w:tcBorders>
                  <w:tcMar>
                    <w:top w:w="0" w:type="dxa"/>
                    <w:left w:w="0" w:type="dxa"/>
                    <w:bottom w:w="0" w:type="dxa"/>
                    <w:right w:w="0" w:type="dxa"/>
                  </w:tcMar>
                  <w:vAlign w:val="center"/>
                </w:tcPr>
                <w:p>
                  <w:pPr>
                    <w:adjustRightInd w:val="0"/>
                    <w:snapToGrid w:val="0"/>
                    <w:jc w:val="center"/>
                    <w:rPr>
                      <w:szCs w:val="21"/>
                    </w:rPr>
                  </w:pPr>
                  <w:r>
                    <w:rPr>
                      <w:rFonts w:hint="eastAsia"/>
                      <w:szCs w:val="21"/>
                    </w:rPr>
                    <w:t>间歇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140" w:hRule="atLeast"/>
                <w:jc w:val="center"/>
              </w:trPr>
              <w:tc>
                <w:tcPr>
                  <w:tcW w:w="382" w:type="pct"/>
                  <w:tcBorders>
                    <w:top w:val="single" w:color="auto" w:sz="4" w:space="0"/>
                    <w:left w:val="nil"/>
                    <w:bottom w:val="single" w:color="auto" w:sz="12" w:space="0"/>
                    <w:right w:val="single" w:color="auto" w:sz="4" w:space="0"/>
                  </w:tcBorders>
                  <w:tcMar>
                    <w:top w:w="0" w:type="dxa"/>
                    <w:left w:w="0" w:type="dxa"/>
                    <w:bottom w:w="0" w:type="dxa"/>
                    <w:right w:w="0" w:type="dxa"/>
                  </w:tcMar>
                  <w:vAlign w:val="center"/>
                </w:tcPr>
                <w:p>
                  <w:pPr>
                    <w:autoSpaceDE w:val="0"/>
                    <w:autoSpaceDN w:val="0"/>
                    <w:adjustRightInd w:val="0"/>
                    <w:snapToGrid w:val="0"/>
                    <w:jc w:val="center"/>
                    <w:rPr>
                      <w:szCs w:val="21"/>
                    </w:rPr>
                  </w:pPr>
                  <w:r>
                    <w:rPr>
                      <w:rFonts w:hint="eastAsia"/>
                      <w:szCs w:val="21"/>
                    </w:rPr>
                    <w:t>固废</w:t>
                  </w:r>
                </w:p>
              </w:tc>
              <w:tc>
                <w:tcPr>
                  <w:tcW w:w="573" w:type="pct"/>
                  <w:tcBorders>
                    <w:top w:val="single" w:color="auto" w:sz="4" w:space="0"/>
                    <w:left w:val="single" w:color="auto" w:sz="4" w:space="0"/>
                    <w:bottom w:val="single" w:color="auto" w:sz="12" w:space="0"/>
                    <w:right w:val="single" w:color="auto" w:sz="4" w:space="0"/>
                  </w:tcBorders>
                  <w:tcMar>
                    <w:top w:w="0" w:type="dxa"/>
                    <w:left w:w="0" w:type="dxa"/>
                    <w:bottom w:w="0" w:type="dxa"/>
                    <w:right w:w="0" w:type="dxa"/>
                  </w:tcMar>
                  <w:vAlign w:val="center"/>
                </w:tcPr>
                <w:p>
                  <w:pPr>
                    <w:adjustRightInd w:val="0"/>
                    <w:snapToGrid w:val="0"/>
                    <w:jc w:val="center"/>
                    <w:rPr>
                      <w:szCs w:val="21"/>
                    </w:rPr>
                  </w:pPr>
                  <w:r>
                    <w:rPr>
                      <w:szCs w:val="21"/>
                    </w:rPr>
                    <w:t>S</w:t>
                  </w:r>
                </w:p>
              </w:tc>
              <w:tc>
                <w:tcPr>
                  <w:tcW w:w="970" w:type="pct"/>
                  <w:tcBorders>
                    <w:top w:val="single" w:color="auto" w:sz="4" w:space="0"/>
                    <w:left w:val="single" w:color="auto" w:sz="4" w:space="0"/>
                    <w:bottom w:val="single" w:color="auto" w:sz="12" w:space="0"/>
                    <w:right w:val="single" w:color="auto" w:sz="4" w:space="0"/>
                  </w:tcBorders>
                  <w:tcMar>
                    <w:top w:w="0" w:type="dxa"/>
                    <w:left w:w="0" w:type="dxa"/>
                    <w:bottom w:w="0" w:type="dxa"/>
                    <w:right w:w="0" w:type="dxa"/>
                  </w:tcMar>
                  <w:vAlign w:val="center"/>
                </w:tcPr>
                <w:p>
                  <w:pPr>
                    <w:autoSpaceDE w:val="0"/>
                    <w:autoSpaceDN w:val="0"/>
                    <w:adjustRightInd w:val="0"/>
                    <w:snapToGrid w:val="0"/>
                    <w:jc w:val="center"/>
                    <w:rPr>
                      <w:szCs w:val="21"/>
                    </w:rPr>
                  </w:pPr>
                  <w:r>
                    <w:rPr>
                      <w:rFonts w:hint="eastAsia"/>
                      <w:szCs w:val="21"/>
                    </w:rPr>
                    <w:t>除尘器收尘</w:t>
                  </w:r>
                </w:p>
              </w:tc>
              <w:tc>
                <w:tcPr>
                  <w:tcW w:w="970" w:type="pct"/>
                  <w:tcBorders>
                    <w:top w:val="single" w:color="auto" w:sz="4" w:space="0"/>
                    <w:left w:val="single" w:color="auto" w:sz="4" w:space="0"/>
                    <w:bottom w:val="single" w:color="auto" w:sz="12" w:space="0"/>
                    <w:right w:val="single" w:color="auto" w:sz="4" w:space="0"/>
                  </w:tcBorders>
                  <w:tcMar>
                    <w:top w:w="0" w:type="dxa"/>
                    <w:left w:w="0" w:type="dxa"/>
                    <w:bottom w:w="0" w:type="dxa"/>
                    <w:right w:w="0" w:type="dxa"/>
                  </w:tcMar>
                  <w:vAlign w:val="center"/>
                </w:tcPr>
                <w:p>
                  <w:pPr>
                    <w:autoSpaceDE w:val="0"/>
                    <w:autoSpaceDN w:val="0"/>
                    <w:adjustRightInd w:val="0"/>
                    <w:snapToGrid w:val="0"/>
                    <w:jc w:val="center"/>
                    <w:rPr>
                      <w:szCs w:val="21"/>
                    </w:rPr>
                  </w:pPr>
                  <w:r>
                    <w:rPr>
                      <w:rFonts w:hint="eastAsia"/>
                      <w:szCs w:val="21"/>
                    </w:rPr>
                    <w:t>木屑粉尘</w:t>
                  </w:r>
                </w:p>
              </w:tc>
              <w:tc>
                <w:tcPr>
                  <w:tcW w:w="2103" w:type="pct"/>
                  <w:tcBorders>
                    <w:top w:val="single" w:color="auto" w:sz="4" w:space="0"/>
                    <w:left w:val="single" w:color="auto" w:sz="4" w:space="0"/>
                    <w:bottom w:val="single" w:color="auto" w:sz="12" w:space="0"/>
                    <w:right w:val="nil"/>
                  </w:tcBorders>
                  <w:tcMar>
                    <w:top w:w="0" w:type="dxa"/>
                    <w:left w:w="0" w:type="dxa"/>
                    <w:bottom w:w="0" w:type="dxa"/>
                    <w:right w:w="0" w:type="dxa"/>
                  </w:tcMar>
                  <w:vAlign w:val="center"/>
                </w:tcPr>
                <w:p>
                  <w:pPr>
                    <w:adjustRightInd w:val="0"/>
                    <w:snapToGrid w:val="0"/>
                    <w:jc w:val="center"/>
                    <w:rPr>
                      <w:szCs w:val="21"/>
                    </w:rPr>
                  </w:pPr>
                  <w:r>
                    <w:rPr>
                      <w:rFonts w:hint="eastAsia"/>
                      <w:szCs w:val="21"/>
                    </w:rPr>
                    <w:t>收集后由环卫清运</w:t>
                  </w:r>
                </w:p>
              </w:tc>
            </w:tr>
          </w:tbl>
          <w:p>
            <w:pPr>
              <w:spacing w:line="360" w:lineRule="auto"/>
              <w:rPr>
                <w:sz w:val="24"/>
              </w:rPr>
            </w:pPr>
          </w:p>
        </w:tc>
      </w:tr>
    </w:tbl>
    <w:p>
      <w:pPr>
        <w:sectPr>
          <w:pgSz w:w="11906" w:h="16838"/>
          <w:pgMar w:top="1440" w:right="1800" w:bottom="1440" w:left="1800" w:header="851" w:footer="992" w:gutter="0"/>
          <w:pgNumType w:start="1"/>
          <w:cols w:space="720" w:num="1"/>
          <w:docGrid w:type="linesAndChars" w:linePitch="312" w:charSpace="0"/>
        </w:sectPr>
      </w:pPr>
    </w:p>
    <w:tbl>
      <w:tblPr>
        <w:tblStyle w:val="33"/>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6" w:hRule="atLeast"/>
        </w:trPr>
        <w:tc>
          <w:tcPr>
            <w:tcW w:w="8393" w:type="dxa"/>
            <w:tcBorders>
              <w:bottom w:val="single" w:color="auto" w:sz="4" w:space="0"/>
            </w:tcBorders>
          </w:tcPr>
          <w:p>
            <w:pPr>
              <w:spacing w:line="360" w:lineRule="auto"/>
              <w:rPr>
                <w:b/>
                <w:sz w:val="24"/>
                <w:szCs w:val="24"/>
              </w:rPr>
            </w:pPr>
            <w:r>
              <w:rPr>
                <w:b/>
                <w:sz w:val="24"/>
                <w:szCs w:val="24"/>
              </w:rPr>
              <w:t>主要污染工序：</w:t>
            </w:r>
          </w:p>
          <w:p>
            <w:pPr>
              <w:adjustRightInd w:val="0"/>
              <w:snapToGrid w:val="0"/>
              <w:spacing w:line="360" w:lineRule="auto"/>
              <w:ind w:firstLine="480" w:firstLineChars="200"/>
              <w:rPr>
                <w:b/>
                <w:sz w:val="24"/>
              </w:rPr>
            </w:pPr>
            <w:r>
              <w:rPr>
                <w:b/>
                <w:sz w:val="24"/>
              </w:rPr>
              <w:t>施工期</w:t>
            </w:r>
            <w:r>
              <w:rPr>
                <w:rFonts w:hint="eastAsia"/>
                <w:b/>
                <w:sz w:val="24"/>
              </w:rPr>
              <w:t>：</w:t>
            </w:r>
          </w:p>
          <w:p>
            <w:pPr>
              <w:pStyle w:val="92"/>
              <w:snapToGrid w:val="0"/>
              <w:spacing w:line="360" w:lineRule="auto"/>
              <w:ind w:firstLine="480" w:firstLineChars="200"/>
              <w:jc w:val="both"/>
              <w:rPr>
                <w:rFonts w:ascii="Times New Roman" w:hAnsi="Times New Roman"/>
                <w:color w:val="auto"/>
              </w:rPr>
            </w:pPr>
            <w:r>
              <w:rPr>
                <w:rFonts w:hint="eastAsia" w:ascii="Times New Roman" w:hAnsi="Times New Roman"/>
                <w:color w:val="auto"/>
              </w:rPr>
              <w:t>无。</w:t>
            </w:r>
          </w:p>
          <w:p>
            <w:pPr>
              <w:adjustRightInd w:val="0"/>
              <w:snapToGrid w:val="0"/>
              <w:spacing w:line="360" w:lineRule="auto"/>
              <w:ind w:firstLine="480" w:firstLineChars="200"/>
              <w:rPr>
                <w:sz w:val="24"/>
                <w:szCs w:val="24"/>
              </w:rPr>
            </w:pPr>
            <w:r>
              <w:rPr>
                <w:rFonts w:hint="eastAsia"/>
                <w:b/>
                <w:sz w:val="24"/>
              </w:rPr>
              <w:t>营运</w:t>
            </w:r>
            <w:r>
              <w:rPr>
                <w:b/>
                <w:sz w:val="24"/>
              </w:rPr>
              <w:t>期</w:t>
            </w:r>
            <w:r>
              <w:rPr>
                <w:rFonts w:hint="eastAsia"/>
                <w:b/>
                <w:sz w:val="24"/>
              </w:rPr>
              <w:t>：</w:t>
            </w:r>
          </w:p>
          <w:p>
            <w:pPr>
              <w:widowControl/>
              <w:adjustRightInd w:val="0"/>
              <w:snapToGrid w:val="0"/>
              <w:spacing w:line="360" w:lineRule="auto"/>
              <w:ind w:firstLine="480" w:firstLineChars="200"/>
              <w:rPr>
                <w:rFonts w:hAnsi="宋体"/>
                <w:sz w:val="24"/>
                <w:szCs w:val="24"/>
              </w:rPr>
            </w:pPr>
            <w:r>
              <w:rPr>
                <w:rFonts w:hAnsi="宋体"/>
                <w:sz w:val="24"/>
                <w:szCs w:val="24"/>
              </w:rPr>
              <w:t>1</w:t>
            </w:r>
            <w:r>
              <w:rPr>
                <w:rFonts w:hint="eastAsia" w:hAnsi="宋体"/>
                <w:sz w:val="24"/>
                <w:szCs w:val="24"/>
              </w:rPr>
              <w:t>、废气</w:t>
            </w:r>
          </w:p>
          <w:p>
            <w:pPr>
              <w:adjustRightInd w:val="0"/>
              <w:snapToGrid w:val="0"/>
              <w:spacing w:line="360" w:lineRule="auto"/>
              <w:ind w:firstLine="480" w:firstLineChars="200"/>
              <w:rPr>
                <w:bCs/>
                <w:sz w:val="24"/>
                <w:szCs w:val="24"/>
              </w:rPr>
            </w:pPr>
            <w:r>
              <w:rPr>
                <w:rFonts w:hint="eastAsia"/>
                <w:bCs/>
                <w:sz w:val="24"/>
                <w:szCs w:val="24"/>
              </w:rPr>
              <w:t>（1）有组织废气</w:t>
            </w:r>
          </w:p>
          <w:p>
            <w:pPr>
              <w:spacing w:line="360" w:lineRule="auto"/>
              <w:ind w:firstLine="480" w:firstLineChars="200"/>
              <w:rPr>
                <w:sz w:val="24"/>
                <w:szCs w:val="24"/>
              </w:rPr>
            </w:pPr>
            <w:r>
              <w:rPr>
                <w:rFonts w:hint="eastAsia"/>
                <w:sz w:val="24"/>
                <w:szCs w:val="24"/>
              </w:rPr>
              <w:t>项目生产过程中需要对木粉进行粉碎并筛分，由于粉碎是在密闭容器中进行</w:t>
            </w:r>
            <w:r>
              <w:rPr>
                <w:rFonts w:hint="eastAsia"/>
                <w:sz w:val="24"/>
                <w:szCs w:val="24"/>
                <w:lang w:eastAsia="zh-CN"/>
              </w:rPr>
              <w:t>，</w:t>
            </w:r>
            <w:r>
              <w:rPr>
                <w:rFonts w:hint="eastAsia"/>
                <w:sz w:val="24"/>
                <w:szCs w:val="24"/>
              </w:rPr>
              <w:t>无粉尘溢出，粉尘废气主要产生于筛分过程。本项目木料用量为3</w:t>
            </w:r>
            <w:r>
              <w:rPr>
                <w:sz w:val="24"/>
                <w:szCs w:val="24"/>
              </w:rPr>
              <w:t>000t/a</w:t>
            </w:r>
            <w:r>
              <w:rPr>
                <w:rFonts w:hint="eastAsia"/>
                <w:sz w:val="24"/>
                <w:szCs w:val="24"/>
              </w:rPr>
              <w:t>，经同类型企业类比调查可知，筛分过程粉尘产生量约为原料的</w:t>
            </w:r>
            <w:r>
              <w:rPr>
                <w:sz w:val="24"/>
                <w:szCs w:val="24"/>
              </w:rPr>
              <w:t>0.1%</w:t>
            </w:r>
            <w:r>
              <w:rPr>
                <w:rFonts w:hint="eastAsia"/>
                <w:sz w:val="24"/>
                <w:szCs w:val="24"/>
              </w:rPr>
              <w:t>，则项目粉尘产生量为3</w:t>
            </w:r>
            <w:r>
              <w:rPr>
                <w:sz w:val="24"/>
                <w:szCs w:val="24"/>
              </w:rPr>
              <w:t>t/a</w:t>
            </w:r>
            <w:r>
              <w:rPr>
                <w:rFonts w:hint="eastAsia"/>
                <w:sz w:val="24"/>
                <w:szCs w:val="24"/>
              </w:rPr>
              <w:t>。针对产生的筛分粉尘，企业拟采取集气罩收集后通过脉冲式布袋除尘器处理，处理达标后最终通过15m高排气</w:t>
            </w:r>
            <w:r>
              <w:rPr>
                <w:rFonts w:hint="eastAsia"/>
                <w:sz w:val="24"/>
              </w:rPr>
              <w:t>筒（2#）排放。本项目年工作时间为2240h，</w:t>
            </w:r>
            <w:r>
              <w:rPr>
                <w:sz w:val="24"/>
                <w:szCs w:val="24"/>
              </w:rPr>
              <w:t>引风机</w:t>
            </w:r>
            <w:r>
              <w:rPr>
                <w:rFonts w:hint="eastAsia"/>
                <w:sz w:val="24"/>
                <w:szCs w:val="24"/>
              </w:rPr>
              <w:t>风量</w:t>
            </w:r>
            <w:r>
              <w:rPr>
                <w:sz w:val="24"/>
                <w:szCs w:val="24"/>
              </w:rPr>
              <w:t>按照</w:t>
            </w:r>
            <w:r>
              <w:rPr>
                <w:rFonts w:hint="eastAsia"/>
                <w:sz w:val="24"/>
                <w:szCs w:val="24"/>
              </w:rPr>
              <w:t>5000</w:t>
            </w:r>
            <w:r>
              <w:rPr>
                <w:sz w:val="24"/>
                <w:szCs w:val="24"/>
              </w:rPr>
              <w:t>m</w:t>
            </w:r>
            <w:r>
              <w:rPr>
                <w:sz w:val="24"/>
                <w:szCs w:val="24"/>
                <w:vertAlign w:val="superscript"/>
              </w:rPr>
              <w:t>3</w:t>
            </w:r>
            <w:r>
              <w:rPr>
                <w:sz w:val="24"/>
                <w:szCs w:val="24"/>
              </w:rPr>
              <w:t>/h</w:t>
            </w:r>
            <w:r>
              <w:rPr>
                <w:rFonts w:hint="eastAsia"/>
                <w:sz w:val="24"/>
                <w:szCs w:val="24"/>
              </w:rPr>
              <w:t>计</w:t>
            </w:r>
            <w:r>
              <w:rPr>
                <w:rFonts w:hint="eastAsia"/>
                <w:sz w:val="24"/>
              </w:rPr>
              <w:t>，集气罩收集效率为90%，布袋除尘器处理效率为99%，</w:t>
            </w:r>
            <w:r>
              <w:rPr>
                <w:sz w:val="24"/>
                <w:szCs w:val="24"/>
              </w:rPr>
              <w:t>则有组织</w:t>
            </w:r>
            <w:r>
              <w:rPr>
                <w:rFonts w:hint="eastAsia"/>
                <w:sz w:val="24"/>
                <w:szCs w:val="24"/>
              </w:rPr>
              <w:t>粉尘</w:t>
            </w:r>
            <w:r>
              <w:rPr>
                <w:sz w:val="24"/>
                <w:szCs w:val="24"/>
              </w:rPr>
              <w:t>产生量为</w:t>
            </w:r>
            <w:r>
              <w:rPr>
                <w:rFonts w:hint="eastAsia"/>
                <w:sz w:val="24"/>
                <w:szCs w:val="24"/>
              </w:rPr>
              <w:t>2</w:t>
            </w:r>
            <w:r>
              <w:rPr>
                <w:sz w:val="24"/>
                <w:szCs w:val="24"/>
              </w:rPr>
              <w:t>.</w:t>
            </w:r>
            <w:r>
              <w:rPr>
                <w:rFonts w:hint="eastAsia"/>
                <w:sz w:val="24"/>
                <w:szCs w:val="24"/>
              </w:rPr>
              <w:t>7</w:t>
            </w:r>
            <w:r>
              <w:rPr>
                <w:sz w:val="24"/>
                <w:szCs w:val="24"/>
              </w:rPr>
              <w:t>t/a</w:t>
            </w:r>
            <w:r>
              <w:rPr>
                <w:rFonts w:hint="eastAsia"/>
                <w:sz w:val="24"/>
                <w:szCs w:val="24"/>
              </w:rPr>
              <w:t>，</w:t>
            </w:r>
            <w:r>
              <w:rPr>
                <w:sz w:val="24"/>
                <w:szCs w:val="24"/>
              </w:rPr>
              <w:t>产生浓度为</w:t>
            </w:r>
            <w:r>
              <w:rPr>
                <w:rFonts w:hint="eastAsia"/>
                <w:sz w:val="24"/>
                <w:szCs w:val="24"/>
              </w:rPr>
              <w:t>241.071</w:t>
            </w:r>
            <w:r>
              <w:rPr>
                <w:sz w:val="24"/>
                <w:szCs w:val="24"/>
              </w:rPr>
              <w:t>mg/m</w:t>
            </w:r>
            <w:r>
              <w:rPr>
                <w:sz w:val="24"/>
                <w:szCs w:val="24"/>
                <w:vertAlign w:val="superscript"/>
              </w:rPr>
              <w:t>3</w:t>
            </w:r>
            <w:r>
              <w:rPr>
                <w:rFonts w:hint="eastAsia"/>
                <w:sz w:val="24"/>
                <w:szCs w:val="24"/>
              </w:rPr>
              <w:t>，排放量</w:t>
            </w:r>
            <w:r>
              <w:rPr>
                <w:sz w:val="24"/>
                <w:szCs w:val="24"/>
              </w:rPr>
              <w:t>为</w:t>
            </w:r>
            <w:r>
              <w:rPr>
                <w:rFonts w:hint="eastAsia"/>
                <w:sz w:val="24"/>
                <w:szCs w:val="24"/>
              </w:rPr>
              <w:t>0.027</w:t>
            </w:r>
            <w:r>
              <w:rPr>
                <w:sz w:val="24"/>
                <w:szCs w:val="24"/>
              </w:rPr>
              <w:t>t/a</w:t>
            </w:r>
            <w:r>
              <w:rPr>
                <w:rFonts w:hint="eastAsia"/>
                <w:sz w:val="24"/>
                <w:szCs w:val="24"/>
              </w:rPr>
              <w:t>，排放</w:t>
            </w:r>
            <w:r>
              <w:rPr>
                <w:sz w:val="24"/>
                <w:szCs w:val="24"/>
              </w:rPr>
              <w:t>速率为</w:t>
            </w:r>
            <w:r>
              <w:rPr>
                <w:rFonts w:hint="eastAsia"/>
                <w:sz w:val="24"/>
                <w:szCs w:val="24"/>
              </w:rPr>
              <w:t>0.012</w:t>
            </w:r>
            <w:r>
              <w:rPr>
                <w:sz w:val="24"/>
                <w:szCs w:val="24"/>
              </w:rPr>
              <w:t>kg/h</w:t>
            </w:r>
            <w:r>
              <w:rPr>
                <w:rFonts w:hint="eastAsia"/>
                <w:sz w:val="24"/>
                <w:szCs w:val="24"/>
              </w:rPr>
              <w:t>，排放</w:t>
            </w:r>
            <w:r>
              <w:rPr>
                <w:sz w:val="24"/>
                <w:szCs w:val="24"/>
              </w:rPr>
              <w:t>浓度为</w:t>
            </w:r>
            <w:r>
              <w:rPr>
                <w:rFonts w:hint="eastAsia"/>
                <w:sz w:val="24"/>
                <w:szCs w:val="24"/>
              </w:rPr>
              <w:t>2.411</w:t>
            </w:r>
            <w:r>
              <w:rPr>
                <w:sz w:val="24"/>
                <w:szCs w:val="24"/>
              </w:rPr>
              <w:t>mg/m</w:t>
            </w:r>
            <w:r>
              <w:rPr>
                <w:sz w:val="24"/>
                <w:szCs w:val="24"/>
                <w:vertAlign w:val="superscript"/>
              </w:rPr>
              <w:t>3</w:t>
            </w:r>
            <w:r>
              <w:rPr>
                <w:rFonts w:hint="eastAsia"/>
                <w:sz w:val="24"/>
                <w:szCs w:val="24"/>
              </w:rPr>
              <w:t>。</w:t>
            </w:r>
          </w:p>
          <w:p>
            <w:pPr>
              <w:adjustRightInd w:val="0"/>
              <w:snapToGrid w:val="0"/>
              <w:jc w:val="center"/>
              <w:rPr>
                <w:rFonts w:ascii="Calibri" w:hAnsi="Calibri"/>
              </w:rPr>
            </w:pPr>
            <w:r>
              <w:rPr>
                <w:rFonts w:hint="eastAsia" w:hAnsi="宋体"/>
                <w:b/>
                <w:sz w:val="24"/>
              </w:rPr>
              <w:t>表</w:t>
            </w:r>
            <w:r>
              <w:rPr>
                <w:b/>
                <w:sz w:val="24"/>
              </w:rPr>
              <w:t>5-2</w:t>
            </w:r>
            <w:r>
              <w:rPr>
                <w:rFonts w:hint="eastAsia"/>
                <w:b/>
                <w:sz w:val="24"/>
              </w:rPr>
              <w:t xml:space="preserve">  </w:t>
            </w:r>
            <w:r>
              <w:rPr>
                <w:rFonts w:hint="eastAsia" w:hAnsi="宋体"/>
                <w:b/>
                <w:sz w:val="24"/>
              </w:rPr>
              <w:t>建设项目有组织废气产生及排放汇总表</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96"/>
              <w:gridCol w:w="516"/>
              <w:gridCol w:w="450"/>
              <w:gridCol w:w="764"/>
              <w:gridCol w:w="722"/>
              <w:gridCol w:w="658"/>
              <w:gridCol w:w="876"/>
              <w:gridCol w:w="638"/>
              <w:gridCol w:w="907"/>
              <w:gridCol w:w="761"/>
              <w:gridCol w:w="766"/>
              <w:gridCol w:w="7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42" w:type="pct"/>
                  <w:vMerge w:val="restart"/>
                  <w:tcBorders>
                    <w:top w:val="single" w:color="auto" w:sz="12" w:space="0"/>
                    <w:left w:val="nil"/>
                    <w:bottom w:val="single" w:color="auto" w:sz="4" w:space="0"/>
                    <w:right w:val="single" w:color="auto" w:sz="4" w:space="0"/>
                  </w:tcBorders>
                  <w:vAlign w:val="center"/>
                </w:tcPr>
                <w:p>
                  <w:pPr>
                    <w:adjustRightInd w:val="0"/>
                    <w:snapToGrid w:val="0"/>
                    <w:ind w:left="-105" w:leftChars="-50" w:right="-105" w:rightChars="-50"/>
                    <w:jc w:val="center"/>
                    <w:rPr>
                      <w:szCs w:val="21"/>
                    </w:rPr>
                  </w:pPr>
                  <w:r>
                    <w:rPr>
                      <w:rFonts w:hint="eastAsia"/>
                      <w:b/>
                      <w:szCs w:val="21"/>
                    </w:rPr>
                    <w:t>排放源</w:t>
                  </w:r>
                </w:p>
              </w:tc>
              <w:tc>
                <w:tcPr>
                  <w:tcW w:w="315" w:type="pct"/>
                  <w:vMerge w:val="restart"/>
                  <w:tcBorders>
                    <w:top w:val="single" w:color="auto" w:sz="12" w:space="0"/>
                    <w:left w:val="single" w:color="auto" w:sz="4" w:space="0"/>
                    <w:bottom w:val="single" w:color="auto" w:sz="4" w:space="0"/>
                    <w:right w:val="single" w:color="auto" w:sz="4" w:space="0"/>
                  </w:tcBorders>
                  <w:vAlign w:val="center"/>
                </w:tcPr>
                <w:p>
                  <w:pPr>
                    <w:adjustRightInd w:val="0"/>
                    <w:snapToGrid w:val="0"/>
                    <w:ind w:left="-105" w:leftChars="-50" w:right="-105" w:rightChars="-50"/>
                    <w:jc w:val="center"/>
                    <w:rPr>
                      <w:szCs w:val="21"/>
                    </w:rPr>
                  </w:pPr>
                  <w:r>
                    <w:rPr>
                      <w:rFonts w:hint="eastAsia"/>
                      <w:b/>
                      <w:szCs w:val="21"/>
                    </w:rPr>
                    <w:t>产生工序</w:t>
                  </w:r>
                </w:p>
              </w:tc>
              <w:tc>
                <w:tcPr>
                  <w:tcW w:w="275" w:type="pct"/>
                  <w:vMerge w:val="restart"/>
                  <w:tcBorders>
                    <w:top w:val="single" w:color="auto" w:sz="12" w:space="0"/>
                    <w:left w:val="single" w:color="auto" w:sz="4" w:space="0"/>
                    <w:bottom w:val="single" w:color="auto" w:sz="4" w:space="0"/>
                    <w:right w:val="single" w:color="auto" w:sz="4" w:space="0"/>
                  </w:tcBorders>
                  <w:vAlign w:val="center"/>
                </w:tcPr>
                <w:p>
                  <w:pPr>
                    <w:adjustRightInd w:val="0"/>
                    <w:snapToGrid w:val="0"/>
                    <w:ind w:left="-105" w:leftChars="-50" w:right="-105" w:rightChars="-50"/>
                    <w:jc w:val="center"/>
                    <w:rPr>
                      <w:szCs w:val="21"/>
                    </w:rPr>
                  </w:pPr>
                  <w:r>
                    <w:rPr>
                      <w:rFonts w:hint="eastAsia"/>
                      <w:b/>
                      <w:szCs w:val="21"/>
                    </w:rPr>
                    <w:t>污染物名称</w:t>
                  </w:r>
                </w:p>
              </w:tc>
              <w:tc>
                <w:tcPr>
                  <w:tcW w:w="1310" w:type="pct"/>
                  <w:gridSpan w:val="3"/>
                  <w:tcBorders>
                    <w:top w:val="single" w:color="auto" w:sz="12" w:space="0"/>
                    <w:left w:val="single" w:color="auto" w:sz="4" w:space="0"/>
                    <w:bottom w:val="single" w:color="auto" w:sz="4" w:space="0"/>
                    <w:right w:val="single" w:color="auto" w:sz="4" w:space="0"/>
                  </w:tcBorders>
                  <w:vAlign w:val="center"/>
                </w:tcPr>
                <w:p>
                  <w:pPr>
                    <w:adjustRightInd w:val="0"/>
                    <w:snapToGrid w:val="0"/>
                    <w:ind w:left="-105" w:leftChars="-50" w:right="-105" w:rightChars="-50"/>
                    <w:jc w:val="center"/>
                    <w:rPr>
                      <w:b/>
                      <w:szCs w:val="21"/>
                    </w:rPr>
                  </w:pPr>
                  <w:r>
                    <w:rPr>
                      <w:rFonts w:hint="eastAsia"/>
                      <w:b/>
                      <w:szCs w:val="21"/>
                    </w:rPr>
                    <w:t>产生状况</w:t>
                  </w:r>
                </w:p>
              </w:tc>
              <w:tc>
                <w:tcPr>
                  <w:tcW w:w="535" w:type="pct"/>
                  <w:vMerge w:val="restart"/>
                  <w:tcBorders>
                    <w:top w:val="single" w:color="auto" w:sz="12" w:space="0"/>
                    <w:left w:val="single" w:color="auto" w:sz="4" w:space="0"/>
                    <w:bottom w:val="single" w:color="auto" w:sz="4" w:space="0"/>
                    <w:right w:val="single" w:color="auto" w:sz="4" w:space="0"/>
                  </w:tcBorders>
                  <w:vAlign w:val="center"/>
                </w:tcPr>
                <w:p>
                  <w:pPr>
                    <w:pStyle w:val="2"/>
                    <w:adjustRightInd w:val="0"/>
                    <w:snapToGrid w:val="0"/>
                    <w:spacing w:before="0" w:after="0" w:line="240" w:lineRule="auto"/>
                    <w:ind w:left="-105" w:leftChars="-50" w:right="-105" w:rightChars="-50"/>
                    <w:jc w:val="center"/>
                    <w:rPr>
                      <w:sz w:val="21"/>
                      <w:szCs w:val="21"/>
                    </w:rPr>
                  </w:pPr>
                  <w:r>
                    <w:rPr>
                      <w:rFonts w:hint="eastAsia"/>
                      <w:sz w:val="21"/>
                      <w:szCs w:val="21"/>
                    </w:rPr>
                    <w:t>治理措施</w:t>
                  </w:r>
                </w:p>
              </w:tc>
              <w:tc>
                <w:tcPr>
                  <w:tcW w:w="390" w:type="pct"/>
                  <w:vMerge w:val="restart"/>
                  <w:tcBorders>
                    <w:top w:val="single" w:color="auto" w:sz="12" w:space="0"/>
                    <w:left w:val="single" w:color="auto" w:sz="4" w:space="0"/>
                    <w:bottom w:val="single" w:color="auto" w:sz="4" w:space="0"/>
                    <w:right w:val="single" w:color="auto" w:sz="4" w:space="0"/>
                  </w:tcBorders>
                  <w:vAlign w:val="center"/>
                </w:tcPr>
                <w:p>
                  <w:pPr>
                    <w:pStyle w:val="2"/>
                    <w:adjustRightInd w:val="0"/>
                    <w:snapToGrid w:val="0"/>
                    <w:spacing w:before="0" w:after="0" w:line="240" w:lineRule="auto"/>
                    <w:ind w:left="-105" w:leftChars="-50" w:right="-105" w:rightChars="-50"/>
                    <w:jc w:val="center"/>
                    <w:rPr>
                      <w:sz w:val="21"/>
                      <w:szCs w:val="21"/>
                    </w:rPr>
                  </w:pPr>
                  <w:r>
                    <w:rPr>
                      <w:rFonts w:hint="eastAsia"/>
                      <w:sz w:val="21"/>
                      <w:szCs w:val="21"/>
                    </w:rPr>
                    <w:t>去除效率（</w:t>
                  </w:r>
                  <w:r>
                    <w:rPr>
                      <w:sz w:val="21"/>
                      <w:szCs w:val="21"/>
                    </w:rPr>
                    <w:t>%</w:t>
                  </w:r>
                  <w:r>
                    <w:rPr>
                      <w:rFonts w:hint="eastAsia"/>
                      <w:sz w:val="21"/>
                      <w:szCs w:val="21"/>
                    </w:rPr>
                    <w:t>）</w:t>
                  </w:r>
                </w:p>
              </w:tc>
              <w:tc>
                <w:tcPr>
                  <w:tcW w:w="1488" w:type="pct"/>
                  <w:gridSpan w:val="3"/>
                  <w:tcBorders>
                    <w:top w:val="single" w:color="auto" w:sz="12" w:space="0"/>
                    <w:left w:val="single" w:color="auto" w:sz="4" w:space="0"/>
                    <w:bottom w:val="single" w:color="auto" w:sz="4" w:space="0"/>
                    <w:right w:val="single" w:color="auto" w:sz="4" w:space="0"/>
                  </w:tcBorders>
                  <w:vAlign w:val="center"/>
                </w:tcPr>
                <w:p>
                  <w:pPr>
                    <w:pStyle w:val="2"/>
                    <w:adjustRightInd w:val="0"/>
                    <w:snapToGrid w:val="0"/>
                    <w:spacing w:before="0" w:after="0" w:line="240" w:lineRule="auto"/>
                    <w:ind w:left="-105" w:leftChars="-50" w:right="-105" w:rightChars="-50"/>
                    <w:jc w:val="center"/>
                    <w:rPr>
                      <w:sz w:val="21"/>
                      <w:szCs w:val="21"/>
                    </w:rPr>
                  </w:pPr>
                  <w:r>
                    <w:rPr>
                      <w:rFonts w:hint="eastAsia"/>
                      <w:sz w:val="21"/>
                      <w:szCs w:val="21"/>
                    </w:rPr>
                    <w:t>排放状况</w:t>
                  </w:r>
                </w:p>
              </w:tc>
              <w:tc>
                <w:tcPr>
                  <w:tcW w:w="442" w:type="pct"/>
                  <w:vMerge w:val="restart"/>
                  <w:tcBorders>
                    <w:top w:val="single" w:color="auto" w:sz="12" w:space="0"/>
                    <w:left w:val="single" w:color="auto" w:sz="4" w:space="0"/>
                    <w:bottom w:val="single" w:color="auto" w:sz="4" w:space="0"/>
                    <w:right w:val="nil"/>
                  </w:tcBorders>
                  <w:vAlign w:val="center"/>
                </w:tcPr>
                <w:p>
                  <w:pPr>
                    <w:pStyle w:val="2"/>
                    <w:adjustRightInd w:val="0"/>
                    <w:snapToGrid w:val="0"/>
                    <w:spacing w:before="0" w:after="0" w:line="240" w:lineRule="auto"/>
                    <w:ind w:left="-105" w:leftChars="-50" w:right="-105" w:rightChars="-50"/>
                    <w:jc w:val="center"/>
                    <w:rPr>
                      <w:sz w:val="21"/>
                      <w:szCs w:val="21"/>
                    </w:rPr>
                  </w:pPr>
                  <w:r>
                    <w:rPr>
                      <w:rFonts w:hint="eastAsia"/>
                      <w:sz w:val="21"/>
                      <w:szCs w:val="21"/>
                    </w:rPr>
                    <w:t>排放时间（</w:t>
                  </w:r>
                  <w:r>
                    <w:rPr>
                      <w:sz w:val="21"/>
                      <w:szCs w:val="21"/>
                    </w:rPr>
                    <w:t>h</w:t>
                  </w:r>
                  <w:r>
                    <w:rPr>
                      <w:rFonts w:hint="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242" w:type="pct"/>
                  <w:vMerge w:val="continue"/>
                  <w:tcBorders>
                    <w:top w:val="single" w:color="auto" w:sz="12" w:space="0"/>
                    <w:left w:val="nil"/>
                    <w:bottom w:val="single" w:color="auto" w:sz="4" w:space="0"/>
                    <w:right w:val="single" w:color="auto" w:sz="4" w:space="0"/>
                  </w:tcBorders>
                  <w:vAlign w:val="center"/>
                </w:tcPr>
                <w:p>
                  <w:pPr>
                    <w:widowControl/>
                    <w:adjustRightInd w:val="0"/>
                    <w:snapToGrid w:val="0"/>
                    <w:ind w:left="-105" w:leftChars="-50" w:right="-105" w:rightChars="-50"/>
                    <w:jc w:val="center"/>
                    <w:rPr>
                      <w:szCs w:val="21"/>
                    </w:rPr>
                  </w:pPr>
                </w:p>
              </w:tc>
              <w:tc>
                <w:tcPr>
                  <w:tcW w:w="315" w:type="pct"/>
                  <w:vMerge w:val="continue"/>
                  <w:tcBorders>
                    <w:top w:val="single" w:color="auto" w:sz="12" w:space="0"/>
                    <w:left w:val="single" w:color="auto" w:sz="4" w:space="0"/>
                    <w:bottom w:val="single" w:color="auto" w:sz="4" w:space="0"/>
                    <w:right w:val="single" w:color="auto" w:sz="4" w:space="0"/>
                  </w:tcBorders>
                  <w:vAlign w:val="center"/>
                </w:tcPr>
                <w:p>
                  <w:pPr>
                    <w:widowControl/>
                    <w:adjustRightInd w:val="0"/>
                    <w:snapToGrid w:val="0"/>
                    <w:ind w:left="-105" w:leftChars="-50" w:right="-105" w:rightChars="-50"/>
                    <w:jc w:val="center"/>
                    <w:rPr>
                      <w:szCs w:val="21"/>
                    </w:rPr>
                  </w:pPr>
                </w:p>
              </w:tc>
              <w:tc>
                <w:tcPr>
                  <w:tcW w:w="275" w:type="pct"/>
                  <w:vMerge w:val="continue"/>
                  <w:tcBorders>
                    <w:top w:val="single" w:color="auto" w:sz="12" w:space="0"/>
                    <w:left w:val="single" w:color="auto" w:sz="4" w:space="0"/>
                    <w:bottom w:val="single" w:color="auto" w:sz="4" w:space="0"/>
                    <w:right w:val="single" w:color="auto" w:sz="4" w:space="0"/>
                  </w:tcBorders>
                  <w:vAlign w:val="center"/>
                </w:tcPr>
                <w:p>
                  <w:pPr>
                    <w:widowControl/>
                    <w:adjustRightInd w:val="0"/>
                    <w:snapToGrid w:val="0"/>
                    <w:ind w:left="-105" w:leftChars="-50" w:right="-105" w:rightChars="-50"/>
                    <w:jc w:val="center"/>
                    <w:rPr>
                      <w:szCs w:val="21"/>
                    </w:rPr>
                  </w:pPr>
                </w:p>
              </w:tc>
              <w:tc>
                <w:tcPr>
                  <w:tcW w:w="467"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105" w:leftChars="-50" w:right="-105" w:rightChars="-50"/>
                    <w:jc w:val="center"/>
                    <w:rPr>
                      <w:b/>
                      <w:szCs w:val="21"/>
                    </w:rPr>
                  </w:pPr>
                  <w:r>
                    <w:rPr>
                      <w:rFonts w:hint="eastAsia"/>
                      <w:b/>
                      <w:szCs w:val="21"/>
                    </w:rPr>
                    <w:t>浓度</w:t>
                  </w:r>
                </w:p>
                <w:p>
                  <w:pPr>
                    <w:adjustRightInd w:val="0"/>
                    <w:snapToGrid w:val="0"/>
                    <w:ind w:left="-105" w:leftChars="-50" w:right="-105" w:rightChars="-50"/>
                    <w:jc w:val="center"/>
                    <w:rPr>
                      <w:szCs w:val="21"/>
                    </w:rPr>
                  </w:pPr>
                  <w:r>
                    <w:rPr>
                      <w:b/>
                      <w:szCs w:val="21"/>
                    </w:rPr>
                    <w:t>(mg/m</w:t>
                  </w:r>
                  <w:r>
                    <w:rPr>
                      <w:b/>
                      <w:szCs w:val="21"/>
                      <w:vertAlign w:val="superscript"/>
                    </w:rPr>
                    <w:t>3</w:t>
                  </w:r>
                  <w:r>
                    <w:rPr>
                      <w:b/>
                      <w:szCs w:val="21"/>
                    </w:rPr>
                    <w:t>)</w:t>
                  </w:r>
                </w:p>
              </w:tc>
              <w:tc>
                <w:tcPr>
                  <w:tcW w:w="441"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105" w:leftChars="-50" w:right="-105" w:rightChars="-50"/>
                    <w:jc w:val="center"/>
                    <w:rPr>
                      <w:b/>
                      <w:szCs w:val="21"/>
                    </w:rPr>
                  </w:pPr>
                  <w:r>
                    <w:rPr>
                      <w:rFonts w:hint="eastAsia"/>
                      <w:b/>
                      <w:szCs w:val="21"/>
                    </w:rPr>
                    <w:t>速率</w:t>
                  </w:r>
                  <w:r>
                    <w:rPr>
                      <w:b/>
                      <w:szCs w:val="21"/>
                    </w:rPr>
                    <w:t>(kg/h)</w:t>
                  </w:r>
                </w:p>
              </w:tc>
              <w:tc>
                <w:tcPr>
                  <w:tcW w:w="402"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105" w:leftChars="-50" w:right="-105" w:rightChars="-50"/>
                    <w:jc w:val="center"/>
                    <w:rPr>
                      <w:szCs w:val="21"/>
                    </w:rPr>
                  </w:pPr>
                  <w:r>
                    <w:rPr>
                      <w:rFonts w:hint="eastAsia"/>
                      <w:b/>
                      <w:szCs w:val="21"/>
                    </w:rPr>
                    <w:t>产生量</w:t>
                  </w:r>
                  <w:r>
                    <w:rPr>
                      <w:b/>
                      <w:szCs w:val="21"/>
                    </w:rPr>
                    <w:t>(t/a)</w:t>
                  </w:r>
                </w:p>
              </w:tc>
              <w:tc>
                <w:tcPr>
                  <w:tcW w:w="535" w:type="pct"/>
                  <w:vMerge w:val="continue"/>
                  <w:tcBorders>
                    <w:top w:val="single" w:color="auto" w:sz="12" w:space="0"/>
                    <w:left w:val="single" w:color="auto" w:sz="4" w:space="0"/>
                    <w:bottom w:val="single" w:color="auto" w:sz="4" w:space="0"/>
                    <w:right w:val="single" w:color="auto" w:sz="4" w:space="0"/>
                  </w:tcBorders>
                  <w:vAlign w:val="center"/>
                </w:tcPr>
                <w:p>
                  <w:pPr>
                    <w:widowControl/>
                    <w:adjustRightInd w:val="0"/>
                    <w:snapToGrid w:val="0"/>
                    <w:ind w:left="-105" w:leftChars="-50" w:right="-105" w:rightChars="-50"/>
                    <w:jc w:val="center"/>
                    <w:rPr>
                      <w:b/>
                      <w:bCs/>
                      <w:szCs w:val="21"/>
                    </w:rPr>
                  </w:pPr>
                </w:p>
              </w:tc>
              <w:tc>
                <w:tcPr>
                  <w:tcW w:w="390" w:type="pct"/>
                  <w:vMerge w:val="continue"/>
                  <w:tcBorders>
                    <w:top w:val="single" w:color="auto" w:sz="12" w:space="0"/>
                    <w:left w:val="single" w:color="auto" w:sz="4" w:space="0"/>
                    <w:bottom w:val="single" w:color="auto" w:sz="4" w:space="0"/>
                    <w:right w:val="single" w:color="auto" w:sz="4" w:space="0"/>
                  </w:tcBorders>
                  <w:vAlign w:val="center"/>
                </w:tcPr>
                <w:p>
                  <w:pPr>
                    <w:widowControl/>
                    <w:adjustRightInd w:val="0"/>
                    <w:snapToGrid w:val="0"/>
                    <w:ind w:left="-105" w:leftChars="-50" w:right="-105" w:rightChars="-50"/>
                    <w:jc w:val="center"/>
                    <w:rPr>
                      <w:b/>
                      <w:bCs/>
                      <w:szCs w:val="21"/>
                    </w:rPr>
                  </w:pPr>
                </w:p>
              </w:tc>
              <w:tc>
                <w:tcPr>
                  <w:tcW w:w="554"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105" w:leftChars="-50" w:right="-105" w:rightChars="-50"/>
                    <w:jc w:val="center"/>
                    <w:rPr>
                      <w:szCs w:val="21"/>
                    </w:rPr>
                  </w:pPr>
                  <w:r>
                    <w:rPr>
                      <w:rFonts w:hint="eastAsia"/>
                      <w:b/>
                      <w:szCs w:val="21"/>
                    </w:rPr>
                    <w:t>浓度</w:t>
                  </w:r>
                  <w:r>
                    <w:rPr>
                      <w:b/>
                      <w:szCs w:val="21"/>
                    </w:rPr>
                    <w:t>(mg/m</w:t>
                  </w:r>
                  <w:r>
                    <w:rPr>
                      <w:b/>
                      <w:szCs w:val="21"/>
                      <w:vertAlign w:val="superscript"/>
                    </w:rPr>
                    <w:t>3</w:t>
                  </w:r>
                  <w:r>
                    <w:rPr>
                      <w:b/>
                      <w:szCs w:val="21"/>
                    </w:rPr>
                    <w:t>)</w:t>
                  </w:r>
                </w:p>
              </w:tc>
              <w:tc>
                <w:tcPr>
                  <w:tcW w:w="465"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105" w:leftChars="-50" w:right="-105" w:rightChars="-50"/>
                    <w:jc w:val="center"/>
                    <w:rPr>
                      <w:b/>
                      <w:szCs w:val="21"/>
                    </w:rPr>
                  </w:pPr>
                  <w:r>
                    <w:rPr>
                      <w:rFonts w:hint="eastAsia"/>
                      <w:b/>
                      <w:szCs w:val="21"/>
                    </w:rPr>
                    <w:t>速率</w:t>
                  </w:r>
                  <w:r>
                    <w:rPr>
                      <w:b/>
                      <w:szCs w:val="21"/>
                    </w:rPr>
                    <w:t>(kg/h)</w:t>
                  </w:r>
                </w:p>
              </w:tc>
              <w:tc>
                <w:tcPr>
                  <w:tcW w:w="468"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105" w:leftChars="-50" w:right="-105" w:rightChars="-50"/>
                    <w:jc w:val="center"/>
                    <w:rPr>
                      <w:szCs w:val="21"/>
                    </w:rPr>
                  </w:pPr>
                  <w:r>
                    <w:rPr>
                      <w:rFonts w:hint="eastAsia"/>
                      <w:b/>
                      <w:szCs w:val="21"/>
                    </w:rPr>
                    <w:t>排放量</w:t>
                  </w:r>
                  <w:r>
                    <w:rPr>
                      <w:b/>
                      <w:szCs w:val="21"/>
                    </w:rPr>
                    <w:t>(t/a)</w:t>
                  </w:r>
                </w:p>
              </w:tc>
              <w:tc>
                <w:tcPr>
                  <w:tcW w:w="442" w:type="pct"/>
                  <w:vMerge w:val="continue"/>
                  <w:tcBorders>
                    <w:top w:val="single" w:color="auto" w:sz="12" w:space="0"/>
                    <w:left w:val="single" w:color="auto" w:sz="4" w:space="0"/>
                    <w:bottom w:val="single" w:color="auto" w:sz="4" w:space="0"/>
                    <w:right w:val="nil"/>
                  </w:tcBorders>
                  <w:vAlign w:val="center"/>
                </w:tcPr>
                <w:p>
                  <w:pPr>
                    <w:widowControl/>
                    <w:adjustRightInd w:val="0"/>
                    <w:snapToGrid w:val="0"/>
                    <w:ind w:left="-105" w:leftChars="-50" w:right="-105" w:rightChars="-50"/>
                    <w:jc w:val="center"/>
                    <w:rPr>
                      <w:b/>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2" w:type="pct"/>
                  <w:tcBorders>
                    <w:top w:val="single" w:color="auto" w:sz="4" w:space="0"/>
                    <w:left w:val="nil"/>
                    <w:bottom w:val="single" w:color="auto" w:sz="12" w:space="0"/>
                    <w:right w:val="single" w:color="auto" w:sz="4" w:space="0"/>
                  </w:tcBorders>
                  <w:vAlign w:val="center"/>
                </w:tcPr>
                <w:p>
                  <w:pPr>
                    <w:adjustRightInd w:val="0"/>
                    <w:snapToGrid w:val="0"/>
                    <w:ind w:left="-105" w:leftChars="-50" w:right="-105" w:rightChars="-50"/>
                    <w:jc w:val="center"/>
                    <w:rPr>
                      <w:szCs w:val="21"/>
                    </w:rPr>
                  </w:pPr>
                  <w:r>
                    <w:rPr>
                      <w:rFonts w:hint="eastAsia"/>
                      <w:szCs w:val="21"/>
                      <w:lang w:val="en-US" w:eastAsia="zh-CN"/>
                    </w:rPr>
                    <w:t>1</w:t>
                  </w:r>
                  <w:r>
                    <w:rPr>
                      <w:szCs w:val="21"/>
                    </w:rPr>
                    <w:t>#</w:t>
                  </w:r>
                  <w:r>
                    <w:rPr>
                      <w:rFonts w:hint="eastAsia"/>
                      <w:szCs w:val="21"/>
                    </w:rPr>
                    <w:t>排气筒</w:t>
                  </w:r>
                </w:p>
              </w:tc>
              <w:tc>
                <w:tcPr>
                  <w:tcW w:w="315" w:type="pct"/>
                  <w:tcBorders>
                    <w:top w:val="single" w:color="auto" w:sz="4" w:space="0"/>
                    <w:left w:val="single" w:color="auto" w:sz="4" w:space="0"/>
                    <w:bottom w:val="single" w:color="auto" w:sz="12" w:space="0"/>
                    <w:right w:val="single" w:color="auto" w:sz="4" w:space="0"/>
                  </w:tcBorders>
                  <w:vAlign w:val="center"/>
                </w:tcPr>
                <w:p>
                  <w:pPr>
                    <w:adjustRightInd w:val="0"/>
                    <w:snapToGrid w:val="0"/>
                    <w:ind w:left="-105" w:leftChars="-50" w:right="-105" w:rightChars="-50"/>
                    <w:jc w:val="center"/>
                    <w:rPr>
                      <w:rFonts w:hint="eastAsia" w:eastAsia="宋体"/>
                      <w:szCs w:val="21"/>
                      <w:lang w:eastAsia="zh-CN"/>
                    </w:rPr>
                  </w:pPr>
                  <w:r>
                    <w:rPr>
                      <w:rFonts w:hint="eastAsia"/>
                      <w:szCs w:val="21"/>
                      <w:lang w:eastAsia="zh-CN"/>
                    </w:rPr>
                    <w:t>筛分</w:t>
                  </w:r>
                </w:p>
              </w:tc>
              <w:tc>
                <w:tcPr>
                  <w:tcW w:w="275" w:type="pct"/>
                  <w:tcBorders>
                    <w:top w:val="single" w:color="auto" w:sz="4" w:space="0"/>
                    <w:left w:val="single" w:color="auto" w:sz="4" w:space="0"/>
                    <w:bottom w:val="single" w:color="auto" w:sz="12" w:space="0"/>
                    <w:right w:val="single" w:color="auto" w:sz="4" w:space="0"/>
                  </w:tcBorders>
                  <w:vAlign w:val="center"/>
                </w:tcPr>
                <w:p>
                  <w:pPr>
                    <w:adjustRightInd w:val="0"/>
                    <w:snapToGrid w:val="0"/>
                    <w:ind w:left="-105" w:leftChars="-50" w:right="-105" w:rightChars="-50"/>
                    <w:jc w:val="center"/>
                    <w:rPr>
                      <w:rFonts w:hint="eastAsia" w:eastAsia="宋体"/>
                      <w:szCs w:val="21"/>
                      <w:lang w:eastAsia="zh-CN"/>
                    </w:rPr>
                  </w:pPr>
                  <w:r>
                    <w:rPr>
                      <w:rFonts w:hint="eastAsia"/>
                      <w:szCs w:val="21"/>
                      <w:lang w:eastAsia="zh-CN"/>
                    </w:rPr>
                    <w:t>粉尘</w:t>
                  </w:r>
                </w:p>
              </w:tc>
              <w:tc>
                <w:tcPr>
                  <w:tcW w:w="467" w:type="pct"/>
                  <w:tcBorders>
                    <w:top w:val="single" w:color="auto" w:sz="4" w:space="0"/>
                    <w:left w:val="single" w:color="auto" w:sz="4" w:space="0"/>
                    <w:bottom w:val="single" w:color="auto" w:sz="12" w:space="0"/>
                    <w:right w:val="single" w:color="auto" w:sz="4" w:space="0"/>
                  </w:tcBorders>
                  <w:vAlign w:val="center"/>
                </w:tcPr>
                <w:p>
                  <w:pPr>
                    <w:adjustRightInd w:val="0"/>
                    <w:snapToGrid w:val="0"/>
                    <w:ind w:left="-105" w:leftChars="-50" w:right="-105" w:rightChars="-50"/>
                    <w:jc w:val="center"/>
                    <w:rPr>
                      <w:szCs w:val="21"/>
                    </w:rPr>
                  </w:pPr>
                  <w:r>
                    <w:rPr>
                      <w:rFonts w:hint="eastAsia"/>
                      <w:szCs w:val="21"/>
                    </w:rPr>
                    <w:t>241.071</w:t>
                  </w:r>
                </w:p>
              </w:tc>
              <w:tc>
                <w:tcPr>
                  <w:tcW w:w="441" w:type="pct"/>
                  <w:tcBorders>
                    <w:top w:val="single" w:color="auto" w:sz="4" w:space="0"/>
                    <w:left w:val="single" w:color="auto" w:sz="4" w:space="0"/>
                    <w:bottom w:val="single" w:color="auto" w:sz="12" w:space="0"/>
                    <w:right w:val="single" w:color="auto" w:sz="4" w:space="0"/>
                  </w:tcBorders>
                  <w:vAlign w:val="center"/>
                </w:tcPr>
                <w:p>
                  <w:pPr>
                    <w:adjustRightInd w:val="0"/>
                    <w:snapToGrid w:val="0"/>
                    <w:ind w:left="-105" w:leftChars="-50" w:right="-105" w:rightChars="-50"/>
                    <w:jc w:val="center"/>
                    <w:rPr>
                      <w:szCs w:val="21"/>
                    </w:rPr>
                  </w:pPr>
                  <w:r>
                    <w:rPr>
                      <w:rFonts w:hint="eastAsia"/>
                      <w:szCs w:val="21"/>
                    </w:rPr>
                    <w:t>1.205</w:t>
                  </w:r>
                </w:p>
              </w:tc>
              <w:tc>
                <w:tcPr>
                  <w:tcW w:w="402" w:type="pct"/>
                  <w:tcBorders>
                    <w:top w:val="single" w:color="auto" w:sz="4" w:space="0"/>
                    <w:left w:val="single" w:color="auto" w:sz="4" w:space="0"/>
                    <w:bottom w:val="single" w:color="auto" w:sz="12" w:space="0"/>
                    <w:right w:val="single" w:color="auto" w:sz="4" w:space="0"/>
                  </w:tcBorders>
                  <w:vAlign w:val="center"/>
                </w:tcPr>
                <w:p>
                  <w:pPr>
                    <w:adjustRightInd w:val="0"/>
                    <w:snapToGrid w:val="0"/>
                    <w:ind w:left="-105" w:leftChars="-50" w:right="-105" w:rightChars="-50"/>
                    <w:jc w:val="center"/>
                    <w:rPr>
                      <w:szCs w:val="21"/>
                    </w:rPr>
                  </w:pPr>
                  <w:r>
                    <w:rPr>
                      <w:rFonts w:hint="eastAsia"/>
                      <w:szCs w:val="21"/>
                    </w:rPr>
                    <w:t>2.7</w:t>
                  </w:r>
                </w:p>
              </w:tc>
              <w:tc>
                <w:tcPr>
                  <w:tcW w:w="535" w:type="pct"/>
                  <w:tcBorders>
                    <w:top w:val="single" w:color="auto" w:sz="4" w:space="0"/>
                    <w:left w:val="single" w:color="auto" w:sz="4" w:space="0"/>
                    <w:bottom w:val="single" w:color="auto" w:sz="12" w:space="0"/>
                    <w:right w:val="single" w:color="auto" w:sz="4" w:space="0"/>
                  </w:tcBorders>
                  <w:vAlign w:val="center"/>
                </w:tcPr>
                <w:p>
                  <w:pPr>
                    <w:adjustRightInd w:val="0"/>
                    <w:snapToGrid w:val="0"/>
                    <w:ind w:left="-105" w:leftChars="-50" w:right="-105" w:rightChars="-50"/>
                    <w:jc w:val="center"/>
                    <w:rPr>
                      <w:szCs w:val="21"/>
                    </w:rPr>
                  </w:pPr>
                  <w:r>
                    <w:rPr>
                      <w:rFonts w:hint="eastAsia"/>
                      <w:szCs w:val="21"/>
                    </w:rPr>
                    <w:t>脉冲式布袋除尘器</w:t>
                  </w:r>
                </w:p>
              </w:tc>
              <w:tc>
                <w:tcPr>
                  <w:tcW w:w="390" w:type="pct"/>
                  <w:tcBorders>
                    <w:top w:val="single" w:color="auto" w:sz="4" w:space="0"/>
                    <w:left w:val="single" w:color="auto" w:sz="4" w:space="0"/>
                    <w:bottom w:val="single" w:color="auto" w:sz="12" w:space="0"/>
                    <w:right w:val="single" w:color="auto" w:sz="4" w:space="0"/>
                  </w:tcBorders>
                  <w:vAlign w:val="center"/>
                </w:tcPr>
                <w:p>
                  <w:pPr>
                    <w:adjustRightInd w:val="0"/>
                    <w:snapToGrid w:val="0"/>
                    <w:ind w:left="-105" w:leftChars="-50" w:right="-105" w:rightChars="-50"/>
                    <w:jc w:val="center"/>
                    <w:rPr>
                      <w:szCs w:val="21"/>
                    </w:rPr>
                  </w:pPr>
                  <w:r>
                    <w:rPr>
                      <w:szCs w:val="21"/>
                    </w:rPr>
                    <w:t>9</w:t>
                  </w:r>
                  <w:r>
                    <w:rPr>
                      <w:rFonts w:hint="eastAsia"/>
                      <w:szCs w:val="21"/>
                    </w:rPr>
                    <w:t>9</w:t>
                  </w:r>
                </w:p>
              </w:tc>
              <w:tc>
                <w:tcPr>
                  <w:tcW w:w="554" w:type="pct"/>
                  <w:tcBorders>
                    <w:top w:val="single" w:color="auto" w:sz="4" w:space="0"/>
                    <w:left w:val="single" w:color="auto" w:sz="4" w:space="0"/>
                    <w:bottom w:val="single" w:color="auto" w:sz="12" w:space="0"/>
                    <w:right w:val="single" w:color="auto" w:sz="4" w:space="0"/>
                  </w:tcBorders>
                  <w:vAlign w:val="center"/>
                </w:tcPr>
                <w:p>
                  <w:pPr>
                    <w:widowControl/>
                    <w:adjustRightInd w:val="0"/>
                    <w:snapToGrid w:val="0"/>
                    <w:ind w:left="-105" w:leftChars="-50" w:right="-105" w:rightChars="-50"/>
                    <w:jc w:val="center"/>
                    <w:rPr>
                      <w:szCs w:val="21"/>
                    </w:rPr>
                  </w:pPr>
                  <w:r>
                    <w:rPr>
                      <w:rFonts w:hint="eastAsia"/>
                      <w:szCs w:val="21"/>
                    </w:rPr>
                    <w:t>2.411</w:t>
                  </w:r>
                </w:p>
              </w:tc>
              <w:tc>
                <w:tcPr>
                  <w:tcW w:w="465" w:type="pct"/>
                  <w:tcBorders>
                    <w:top w:val="single" w:color="auto" w:sz="4" w:space="0"/>
                    <w:left w:val="single" w:color="auto" w:sz="4" w:space="0"/>
                    <w:bottom w:val="single" w:color="auto" w:sz="12" w:space="0"/>
                    <w:right w:val="single" w:color="auto" w:sz="4" w:space="0"/>
                  </w:tcBorders>
                  <w:vAlign w:val="center"/>
                </w:tcPr>
                <w:p>
                  <w:pPr>
                    <w:widowControl/>
                    <w:adjustRightInd w:val="0"/>
                    <w:snapToGrid w:val="0"/>
                    <w:ind w:left="-105" w:leftChars="-50" w:right="-105" w:rightChars="-50"/>
                    <w:jc w:val="center"/>
                    <w:rPr>
                      <w:szCs w:val="21"/>
                    </w:rPr>
                  </w:pPr>
                  <w:r>
                    <w:rPr>
                      <w:rFonts w:hint="eastAsia"/>
                      <w:szCs w:val="21"/>
                    </w:rPr>
                    <w:t>0.012</w:t>
                  </w:r>
                </w:p>
              </w:tc>
              <w:tc>
                <w:tcPr>
                  <w:tcW w:w="468" w:type="pct"/>
                  <w:tcBorders>
                    <w:top w:val="single" w:color="auto" w:sz="4" w:space="0"/>
                    <w:left w:val="single" w:color="auto" w:sz="4" w:space="0"/>
                    <w:bottom w:val="single" w:color="auto" w:sz="12" w:space="0"/>
                    <w:right w:val="single" w:color="auto" w:sz="4" w:space="0"/>
                  </w:tcBorders>
                  <w:vAlign w:val="center"/>
                </w:tcPr>
                <w:p>
                  <w:pPr>
                    <w:adjustRightInd w:val="0"/>
                    <w:snapToGrid w:val="0"/>
                    <w:ind w:left="-105" w:leftChars="-50" w:right="-105" w:rightChars="-50"/>
                    <w:jc w:val="center"/>
                    <w:rPr>
                      <w:szCs w:val="21"/>
                    </w:rPr>
                  </w:pPr>
                  <w:r>
                    <w:rPr>
                      <w:szCs w:val="21"/>
                    </w:rPr>
                    <w:t>0.</w:t>
                  </w:r>
                  <w:r>
                    <w:rPr>
                      <w:rFonts w:hint="eastAsia"/>
                      <w:szCs w:val="21"/>
                    </w:rPr>
                    <w:t>027</w:t>
                  </w:r>
                </w:p>
              </w:tc>
              <w:tc>
                <w:tcPr>
                  <w:tcW w:w="442" w:type="pct"/>
                  <w:tcBorders>
                    <w:top w:val="single" w:color="auto" w:sz="4" w:space="0"/>
                    <w:left w:val="single" w:color="auto" w:sz="4" w:space="0"/>
                    <w:bottom w:val="single" w:color="auto" w:sz="12" w:space="0"/>
                    <w:right w:val="nil"/>
                  </w:tcBorders>
                  <w:vAlign w:val="center"/>
                </w:tcPr>
                <w:p>
                  <w:pPr>
                    <w:adjustRightInd w:val="0"/>
                    <w:snapToGrid w:val="0"/>
                    <w:ind w:left="-105" w:leftChars="-50" w:right="-105" w:rightChars="-50"/>
                    <w:jc w:val="center"/>
                    <w:rPr>
                      <w:szCs w:val="21"/>
                    </w:rPr>
                  </w:pPr>
                  <w:r>
                    <w:rPr>
                      <w:rFonts w:hint="eastAsia"/>
                      <w:szCs w:val="21"/>
                    </w:rPr>
                    <w:t>2240</w:t>
                  </w:r>
                </w:p>
              </w:tc>
            </w:tr>
          </w:tbl>
          <w:p>
            <w:pPr>
              <w:tabs>
                <w:tab w:val="center" w:pos="4153"/>
              </w:tabs>
              <w:spacing w:beforeLines="50" w:line="360" w:lineRule="auto"/>
              <w:ind w:firstLine="480" w:firstLineChars="200"/>
              <w:rPr>
                <w:kern w:val="0"/>
                <w:sz w:val="24"/>
                <w:szCs w:val="24"/>
              </w:rPr>
            </w:pPr>
            <w:r>
              <w:rPr>
                <w:rFonts w:hint="eastAsia"/>
                <w:kern w:val="0"/>
                <w:sz w:val="24"/>
                <w:szCs w:val="24"/>
              </w:rPr>
              <w:t>（2）无组织废气</w:t>
            </w:r>
          </w:p>
          <w:p>
            <w:pPr>
              <w:pStyle w:val="123"/>
              <w:numPr>
                <w:ilvl w:val="0"/>
                <w:numId w:val="0"/>
              </w:numPr>
              <w:spacing w:line="360" w:lineRule="auto"/>
              <w:ind w:leftChars="200"/>
              <w:rPr>
                <w:sz w:val="24"/>
                <w:szCs w:val="24"/>
              </w:rPr>
            </w:pPr>
            <w:r>
              <w:rPr>
                <w:rFonts w:hint="eastAsia"/>
                <w:sz w:val="24"/>
                <w:szCs w:val="24"/>
                <w:lang w:eastAsia="zh-CN"/>
              </w:rPr>
              <w:t>①</w:t>
            </w:r>
            <w:r>
              <w:rPr>
                <w:rFonts w:hint="eastAsia"/>
                <w:sz w:val="24"/>
                <w:szCs w:val="24"/>
              </w:rPr>
              <w:t>干漂工序投料粉尘</w:t>
            </w:r>
          </w:p>
          <w:p>
            <w:pPr>
              <w:spacing w:line="360" w:lineRule="auto"/>
              <w:ind w:firstLine="480" w:firstLineChars="200"/>
              <w:rPr>
                <w:sz w:val="24"/>
                <w:szCs w:val="24"/>
              </w:rPr>
            </w:pPr>
            <w:r>
              <w:rPr>
                <w:rFonts w:hint="eastAsia"/>
                <w:sz w:val="24"/>
                <w:szCs w:val="24"/>
              </w:rPr>
              <w:t>项目干漂工序在投料过程中产生少量木屑粉尘，粉尘产生量按原料用量的</w:t>
            </w:r>
            <w:r>
              <w:rPr>
                <w:sz w:val="24"/>
                <w:szCs w:val="24"/>
              </w:rPr>
              <w:t>0.001%</w:t>
            </w:r>
            <w:r>
              <w:rPr>
                <w:rFonts w:hint="eastAsia"/>
                <w:sz w:val="24"/>
                <w:szCs w:val="24"/>
              </w:rPr>
              <w:t>计，本项目木料用量为3000t/a，则项目粉尘产生量为</w:t>
            </w:r>
            <w:r>
              <w:rPr>
                <w:sz w:val="24"/>
                <w:szCs w:val="24"/>
              </w:rPr>
              <w:t>0.</w:t>
            </w:r>
            <w:r>
              <w:rPr>
                <w:rFonts w:hint="eastAsia"/>
                <w:sz w:val="24"/>
                <w:szCs w:val="24"/>
              </w:rPr>
              <w:t>03</w:t>
            </w:r>
            <w:r>
              <w:rPr>
                <w:sz w:val="24"/>
                <w:szCs w:val="24"/>
              </w:rPr>
              <w:t>t/a</w:t>
            </w:r>
            <w:r>
              <w:rPr>
                <w:rFonts w:hint="eastAsia"/>
                <w:sz w:val="24"/>
                <w:szCs w:val="24"/>
              </w:rPr>
              <w:t>。由于产生量较少，企业拟采取车间通风无组织排放。</w:t>
            </w:r>
          </w:p>
          <w:p>
            <w:pPr>
              <w:pStyle w:val="11"/>
              <w:spacing w:line="360" w:lineRule="auto"/>
              <w:ind w:firstLine="480"/>
              <w:rPr>
                <w:sz w:val="24"/>
              </w:rPr>
            </w:pPr>
            <w:r>
              <w:rPr>
                <w:rFonts w:hint="eastAsia"/>
                <w:sz w:val="24"/>
                <w:lang w:eastAsia="zh-CN"/>
              </w:rPr>
              <w:t>②</w:t>
            </w:r>
            <w:r>
              <w:rPr>
                <w:rFonts w:hint="eastAsia"/>
                <w:sz w:val="24"/>
              </w:rPr>
              <w:t>筛分粉尘</w:t>
            </w:r>
          </w:p>
          <w:p>
            <w:pPr>
              <w:spacing w:line="360" w:lineRule="auto"/>
              <w:ind w:firstLine="480" w:firstLineChars="200"/>
              <w:rPr>
                <w:sz w:val="24"/>
              </w:rPr>
            </w:pPr>
            <w:r>
              <w:rPr>
                <w:rFonts w:hint="eastAsia"/>
                <w:sz w:val="24"/>
              </w:rPr>
              <w:t>本项目筛分过程中会产生粉尘，根据前文分析，粉尘产生量为3t/a，拟采用集气罩收集，集气罩收集效率为90%，则未收集粉尘产生量为0.3t/a，可通过车间无组织排放。</w:t>
            </w:r>
          </w:p>
          <w:p>
            <w:pPr>
              <w:tabs>
                <w:tab w:val="center" w:pos="4153"/>
              </w:tabs>
              <w:adjustRightInd w:val="0"/>
              <w:snapToGrid w:val="0"/>
              <w:jc w:val="center"/>
              <w:rPr>
                <w:b/>
                <w:kern w:val="0"/>
                <w:sz w:val="24"/>
                <w:szCs w:val="24"/>
              </w:rPr>
            </w:pPr>
            <w:r>
              <w:rPr>
                <w:rFonts w:hint="eastAsia"/>
                <w:b/>
                <w:kern w:val="0"/>
                <w:sz w:val="24"/>
                <w:szCs w:val="24"/>
              </w:rPr>
              <w:t>表</w:t>
            </w:r>
            <w:r>
              <w:rPr>
                <w:b/>
                <w:kern w:val="0"/>
                <w:sz w:val="24"/>
                <w:szCs w:val="24"/>
              </w:rPr>
              <w:t xml:space="preserve">5-3  </w:t>
            </w:r>
            <w:r>
              <w:rPr>
                <w:rFonts w:hint="eastAsia"/>
                <w:b/>
                <w:sz w:val="24"/>
              </w:rPr>
              <w:t>建设项目</w:t>
            </w:r>
            <w:r>
              <w:rPr>
                <w:rFonts w:hint="eastAsia"/>
                <w:b/>
                <w:kern w:val="0"/>
                <w:sz w:val="24"/>
                <w:szCs w:val="24"/>
              </w:rPr>
              <w:t>无组织大气污染物排放情况表</w:t>
            </w:r>
          </w:p>
          <w:tbl>
            <w:tblPr>
              <w:tblStyle w:val="33"/>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276"/>
              <w:gridCol w:w="1134"/>
              <w:gridCol w:w="1276"/>
              <w:gridCol w:w="1134"/>
              <w:gridCol w:w="1134"/>
              <w:gridCol w:w="10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147" w:type="dxa"/>
                  <w:tcBorders>
                    <w:top w:val="single" w:color="auto" w:sz="12" w:space="0"/>
                    <w:left w:val="nil"/>
                    <w:bottom w:val="single" w:color="auto" w:sz="4" w:space="0"/>
                    <w:right w:val="single" w:color="auto" w:sz="4" w:space="0"/>
                  </w:tcBorders>
                  <w:vAlign w:val="center"/>
                </w:tcPr>
                <w:p>
                  <w:pPr>
                    <w:adjustRightInd w:val="0"/>
                    <w:snapToGrid w:val="0"/>
                    <w:jc w:val="center"/>
                    <w:rPr>
                      <w:b/>
                      <w:szCs w:val="21"/>
                    </w:rPr>
                  </w:pPr>
                  <w:r>
                    <w:rPr>
                      <w:rFonts w:hint="eastAsia"/>
                      <w:b/>
                      <w:szCs w:val="21"/>
                    </w:rPr>
                    <w:t>排放源</w:t>
                  </w:r>
                </w:p>
              </w:tc>
              <w:tc>
                <w:tcPr>
                  <w:tcW w:w="127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int="eastAsia"/>
                      <w:b/>
                      <w:szCs w:val="21"/>
                    </w:rPr>
                    <w:t>产生工序</w:t>
                  </w:r>
                </w:p>
              </w:tc>
              <w:tc>
                <w:tcPr>
                  <w:tcW w:w="113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int="eastAsia"/>
                      <w:b/>
                      <w:szCs w:val="21"/>
                    </w:rPr>
                    <w:t>污染物名称</w:t>
                  </w:r>
                </w:p>
              </w:tc>
              <w:tc>
                <w:tcPr>
                  <w:tcW w:w="127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int="eastAsia"/>
                      <w:b/>
                      <w:szCs w:val="21"/>
                    </w:rPr>
                    <w:t>污染物排放量（</w:t>
                  </w:r>
                  <w:r>
                    <w:rPr>
                      <w:b/>
                      <w:szCs w:val="21"/>
                    </w:rPr>
                    <w:t>t/a</w:t>
                  </w:r>
                  <w:r>
                    <w:rPr>
                      <w:rFonts w:hint="eastAsia"/>
                      <w:b/>
                      <w:szCs w:val="21"/>
                    </w:rPr>
                    <w:t>）</w:t>
                  </w:r>
                </w:p>
              </w:tc>
              <w:tc>
                <w:tcPr>
                  <w:tcW w:w="113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int="eastAsia"/>
                      <w:b/>
                      <w:szCs w:val="21"/>
                    </w:rPr>
                    <w:t>排放速率（</w:t>
                  </w:r>
                  <w:r>
                    <w:rPr>
                      <w:b/>
                      <w:szCs w:val="21"/>
                    </w:rPr>
                    <w:t>kg/h</w:t>
                  </w:r>
                  <w:r>
                    <w:rPr>
                      <w:rFonts w:hint="eastAsia"/>
                      <w:b/>
                      <w:szCs w:val="21"/>
                    </w:rPr>
                    <w:t>）</w:t>
                  </w:r>
                </w:p>
              </w:tc>
              <w:tc>
                <w:tcPr>
                  <w:tcW w:w="113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int="eastAsia"/>
                      <w:b/>
                      <w:szCs w:val="21"/>
                    </w:rPr>
                    <w:t>面源面积（</w:t>
                  </w:r>
                  <w:r>
                    <w:rPr>
                      <w:b/>
                      <w:szCs w:val="21"/>
                    </w:rPr>
                    <w:t>m</w:t>
                  </w:r>
                  <w:r>
                    <w:rPr>
                      <w:b/>
                      <w:szCs w:val="21"/>
                      <w:vertAlign w:val="superscript"/>
                    </w:rPr>
                    <w:t>2</w:t>
                  </w:r>
                  <w:r>
                    <w:rPr>
                      <w:rFonts w:hint="eastAsia"/>
                      <w:b/>
                      <w:szCs w:val="21"/>
                    </w:rPr>
                    <w:t>）</w:t>
                  </w:r>
                </w:p>
              </w:tc>
              <w:tc>
                <w:tcPr>
                  <w:tcW w:w="1076" w:type="dxa"/>
                  <w:tcBorders>
                    <w:top w:val="single" w:color="auto" w:sz="12" w:space="0"/>
                    <w:left w:val="single" w:color="auto" w:sz="4" w:space="0"/>
                    <w:bottom w:val="single" w:color="auto" w:sz="4" w:space="0"/>
                    <w:right w:val="nil"/>
                  </w:tcBorders>
                  <w:vAlign w:val="center"/>
                </w:tcPr>
                <w:p>
                  <w:pPr>
                    <w:adjustRightInd w:val="0"/>
                    <w:snapToGrid w:val="0"/>
                    <w:jc w:val="center"/>
                    <w:rPr>
                      <w:b/>
                      <w:szCs w:val="21"/>
                    </w:rPr>
                  </w:pPr>
                  <w:r>
                    <w:rPr>
                      <w:rFonts w:hint="eastAsia"/>
                      <w:b/>
                      <w:szCs w:val="21"/>
                    </w:rPr>
                    <w:t>面源高度（</w:t>
                  </w:r>
                  <w:r>
                    <w:rPr>
                      <w:b/>
                      <w:szCs w:val="21"/>
                    </w:rPr>
                    <w:t>m</w:t>
                  </w:r>
                  <w:r>
                    <w:rPr>
                      <w:rFonts w:hint="eastAsia"/>
                      <w:b/>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147" w:type="dxa"/>
                  <w:tcBorders>
                    <w:top w:val="single" w:color="auto" w:sz="4" w:space="0"/>
                    <w:left w:val="nil"/>
                    <w:bottom w:val="single" w:color="auto" w:sz="12" w:space="0"/>
                    <w:right w:val="single" w:color="auto" w:sz="4" w:space="0"/>
                  </w:tcBorders>
                  <w:vAlign w:val="center"/>
                </w:tcPr>
                <w:p>
                  <w:pPr>
                    <w:adjustRightInd w:val="0"/>
                    <w:snapToGrid w:val="0"/>
                    <w:jc w:val="center"/>
                    <w:rPr>
                      <w:szCs w:val="21"/>
                    </w:rPr>
                  </w:pPr>
                  <w:r>
                    <w:rPr>
                      <w:rFonts w:hint="eastAsia"/>
                      <w:szCs w:val="21"/>
                      <w:lang w:eastAsia="zh-CN"/>
                    </w:rPr>
                    <w:t>工作</w:t>
                  </w:r>
                  <w:r>
                    <w:rPr>
                      <w:rFonts w:hint="eastAsia"/>
                      <w:szCs w:val="21"/>
                    </w:rPr>
                    <w:t>车间</w:t>
                  </w:r>
                </w:p>
              </w:tc>
              <w:tc>
                <w:tcPr>
                  <w:tcW w:w="1276"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rFonts w:hint="eastAsia"/>
                      <w:szCs w:val="21"/>
                      <w:lang w:eastAsia="zh-CN"/>
                    </w:rPr>
                    <w:t>干漂、</w:t>
                  </w:r>
                  <w:r>
                    <w:rPr>
                      <w:rFonts w:hint="eastAsia"/>
                      <w:szCs w:val="21"/>
                    </w:rPr>
                    <w:t>筛分</w:t>
                  </w:r>
                </w:p>
              </w:tc>
              <w:tc>
                <w:tcPr>
                  <w:tcW w:w="113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rFonts w:hint="eastAsia"/>
                      <w:szCs w:val="21"/>
                    </w:rPr>
                    <w:t>粉尘</w:t>
                  </w:r>
                </w:p>
              </w:tc>
              <w:tc>
                <w:tcPr>
                  <w:tcW w:w="1276"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hint="eastAsia" w:eastAsia="宋体"/>
                      <w:szCs w:val="21"/>
                      <w:lang w:val="en-US" w:eastAsia="zh-CN"/>
                    </w:rPr>
                  </w:pPr>
                  <w:r>
                    <w:rPr>
                      <w:szCs w:val="21"/>
                    </w:rPr>
                    <w:t>0.</w:t>
                  </w:r>
                  <w:r>
                    <w:rPr>
                      <w:rFonts w:hint="eastAsia"/>
                      <w:szCs w:val="21"/>
                    </w:rPr>
                    <w:t>3</w:t>
                  </w:r>
                  <w:r>
                    <w:rPr>
                      <w:rFonts w:hint="eastAsia"/>
                      <w:szCs w:val="21"/>
                      <w:lang w:val="en-US" w:eastAsia="zh-CN"/>
                    </w:rPr>
                    <w:t>3</w:t>
                  </w:r>
                </w:p>
              </w:tc>
              <w:tc>
                <w:tcPr>
                  <w:tcW w:w="113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hint="default" w:eastAsia="宋体"/>
                      <w:szCs w:val="21"/>
                      <w:lang w:val="en-US" w:eastAsia="zh-CN"/>
                    </w:rPr>
                  </w:pPr>
                  <w:r>
                    <w:rPr>
                      <w:szCs w:val="21"/>
                    </w:rPr>
                    <w:t>0.</w:t>
                  </w:r>
                  <w:r>
                    <w:rPr>
                      <w:rFonts w:hint="eastAsia"/>
                      <w:szCs w:val="21"/>
                      <w:lang w:val="en-US" w:eastAsia="zh-CN"/>
                    </w:rPr>
                    <w:t>147</w:t>
                  </w:r>
                </w:p>
              </w:tc>
              <w:tc>
                <w:tcPr>
                  <w:tcW w:w="113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hint="default" w:eastAsia="宋体"/>
                      <w:szCs w:val="21"/>
                      <w:lang w:val="en-US" w:eastAsia="zh-CN"/>
                    </w:rPr>
                  </w:pPr>
                  <w:r>
                    <w:rPr>
                      <w:rFonts w:hint="eastAsia"/>
                      <w:szCs w:val="21"/>
                      <w:lang w:val="en-US" w:eastAsia="zh-CN"/>
                    </w:rPr>
                    <w:t>1000</w:t>
                  </w:r>
                </w:p>
              </w:tc>
              <w:tc>
                <w:tcPr>
                  <w:tcW w:w="1076" w:type="dxa"/>
                  <w:tcBorders>
                    <w:top w:val="single" w:color="auto" w:sz="4" w:space="0"/>
                    <w:left w:val="single" w:color="auto" w:sz="4" w:space="0"/>
                    <w:bottom w:val="single" w:color="auto" w:sz="12" w:space="0"/>
                    <w:right w:val="nil"/>
                  </w:tcBorders>
                  <w:vAlign w:val="center"/>
                </w:tcPr>
                <w:p>
                  <w:pPr>
                    <w:adjustRightInd w:val="0"/>
                    <w:snapToGrid w:val="0"/>
                    <w:jc w:val="center"/>
                    <w:rPr>
                      <w:rFonts w:hint="default" w:eastAsia="宋体"/>
                      <w:szCs w:val="21"/>
                      <w:lang w:val="en-US" w:eastAsia="zh-CN"/>
                    </w:rPr>
                  </w:pPr>
                  <w:r>
                    <w:rPr>
                      <w:rFonts w:hint="eastAsia"/>
                      <w:szCs w:val="21"/>
                      <w:lang w:val="en-US" w:eastAsia="zh-CN"/>
                    </w:rPr>
                    <w:t>15</w:t>
                  </w:r>
                </w:p>
              </w:tc>
            </w:tr>
          </w:tbl>
          <w:p>
            <w:pPr>
              <w:adjustRightInd w:val="0"/>
              <w:snapToGrid w:val="0"/>
              <w:spacing w:beforeLines="50" w:line="360" w:lineRule="auto"/>
              <w:ind w:firstLine="480" w:firstLineChars="200"/>
              <w:rPr>
                <w:sz w:val="24"/>
                <w:szCs w:val="24"/>
              </w:rPr>
            </w:pPr>
            <w:r>
              <w:rPr>
                <w:sz w:val="24"/>
                <w:szCs w:val="24"/>
              </w:rPr>
              <w:t>2</w:t>
            </w:r>
            <w:r>
              <w:rPr>
                <w:rFonts w:hint="eastAsia"/>
                <w:sz w:val="24"/>
                <w:szCs w:val="24"/>
              </w:rPr>
              <w:t>、废水</w:t>
            </w:r>
          </w:p>
          <w:p>
            <w:pPr>
              <w:adjustRightInd w:val="0"/>
              <w:snapToGrid w:val="0"/>
              <w:spacing w:line="360" w:lineRule="auto"/>
              <w:ind w:firstLine="480" w:firstLineChars="200"/>
              <w:rPr>
                <w:rFonts w:hint="eastAsia"/>
                <w:sz w:val="24"/>
                <w:szCs w:val="24"/>
                <w:lang w:eastAsia="zh-CN"/>
              </w:rPr>
            </w:pPr>
            <w:r>
              <w:rPr>
                <w:rFonts w:hint="eastAsia"/>
                <w:sz w:val="24"/>
                <w:szCs w:val="24"/>
              </w:rPr>
              <w:t>建设项目用水主要为员工生活用水</w:t>
            </w:r>
            <w:r>
              <w:rPr>
                <w:rStyle w:val="40"/>
                <w:rFonts w:hint="eastAsia"/>
                <w:sz w:val="24"/>
                <w:szCs w:val="24"/>
              </w:rPr>
              <w:t>及生产用水</w:t>
            </w:r>
            <w:r>
              <w:rPr>
                <w:rFonts w:hint="eastAsia"/>
                <w:sz w:val="24"/>
                <w:szCs w:val="24"/>
              </w:rPr>
              <w:t>，生活污水经地埋式污水处理设施处理后，全部用于厂区绿化。生产用水主要为反应锅稀释用水</w:t>
            </w:r>
            <w:r>
              <w:rPr>
                <w:rFonts w:hint="eastAsia"/>
                <w:sz w:val="24"/>
                <w:szCs w:val="24"/>
                <w:lang w:eastAsia="zh-CN"/>
              </w:rPr>
              <w:t>。</w:t>
            </w:r>
          </w:p>
          <w:p>
            <w:pPr>
              <w:adjustRightInd w:val="0"/>
              <w:snapToGrid w:val="0"/>
              <w:spacing w:line="360" w:lineRule="auto"/>
              <w:ind w:firstLine="480" w:firstLineChars="200"/>
              <w:rPr>
                <w:sz w:val="24"/>
                <w:szCs w:val="24"/>
              </w:rPr>
            </w:pPr>
            <w:r>
              <w:rPr>
                <w:rFonts w:hint="eastAsia"/>
                <w:sz w:val="24"/>
                <w:szCs w:val="24"/>
              </w:rPr>
              <w:t>（</w:t>
            </w:r>
            <w:r>
              <w:rPr>
                <w:sz w:val="24"/>
                <w:szCs w:val="24"/>
              </w:rPr>
              <w:t>1</w:t>
            </w:r>
            <w:r>
              <w:rPr>
                <w:rFonts w:hint="eastAsia"/>
                <w:sz w:val="24"/>
                <w:szCs w:val="24"/>
              </w:rPr>
              <w:t>）生活用水</w:t>
            </w:r>
          </w:p>
          <w:p>
            <w:pPr>
              <w:adjustRightInd w:val="0"/>
              <w:snapToGrid w:val="0"/>
              <w:spacing w:line="360" w:lineRule="auto"/>
              <w:ind w:firstLine="480" w:firstLineChars="200"/>
              <w:rPr>
                <w:sz w:val="24"/>
                <w:szCs w:val="24"/>
              </w:rPr>
            </w:pPr>
            <w:r>
              <w:rPr>
                <w:rFonts w:hint="eastAsia"/>
                <w:sz w:val="24"/>
                <w:szCs w:val="24"/>
              </w:rPr>
              <w:t>本项目职工定员5人，年工作280天，厂区内不提供食宿，</w:t>
            </w:r>
            <w:r>
              <w:rPr>
                <w:rFonts w:hint="eastAsia"/>
                <w:kern w:val="0"/>
                <w:sz w:val="24"/>
                <w:szCs w:val="24"/>
              </w:rPr>
              <w:t>根据</w:t>
            </w:r>
            <w:r>
              <w:rPr>
                <w:rFonts w:hint="eastAsia"/>
                <w:sz w:val="24"/>
                <w:szCs w:val="24"/>
              </w:rPr>
              <w:t>《建筑给水排水设计规范》（</w:t>
            </w:r>
            <w:r>
              <w:rPr>
                <w:sz w:val="24"/>
                <w:szCs w:val="24"/>
              </w:rPr>
              <w:t>GB50015-2003</w:t>
            </w:r>
            <w:r>
              <w:rPr>
                <w:rFonts w:hint="eastAsia"/>
                <w:sz w:val="24"/>
                <w:szCs w:val="24"/>
              </w:rPr>
              <w:t>），用水定额按</w:t>
            </w:r>
            <w:r>
              <w:rPr>
                <w:sz w:val="24"/>
                <w:szCs w:val="24"/>
              </w:rPr>
              <w:t>50L/</w:t>
            </w:r>
            <w:r>
              <w:rPr>
                <w:rFonts w:hint="eastAsia"/>
                <w:sz w:val="24"/>
                <w:szCs w:val="24"/>
              </w:rPr>
              <w:t>人</w:t>
            </w:r>
            <w:r>
              <w:rPr>
                <w:sz w:val="24"/>
                <w:szCs w:val="24"/>
              </w:rPr>
              <w:t>·d</w:t>
            </w:r>
            <w:r>
              <w:rPr>
                <w:rFonts w:hint="eastAsia"/>
                <w:sz w:val="24"/>
                <w:szCs w:val="24"/>
              </w:rPr>
              <w:t>，则生活用水量为7</w:t>
            </w:r>
            <w:r>
              <w:rPr>
                <w:sz w:val="24"/>
                <w:szCs w:val="24"/>
              </w:rPr>
              <w:t>0t/a</w:t>
            </w:r>
            <w:r>
              <w:rPr>
                <w:rFonts w:hint="eastAsia"/>
                <w:sz w:val="24"/>
                <w:szCs w:val="24"/>
              </w:rPr>
              <w:t>，排放系数以</w:t>
            </w:r>
            <w:r>
              <w:rPr>
                <w:sz w:val="24"/>
                <w:szCs w:val="24"/>
              </w:rPr>
              <w:t>0.8</w:t>
            </w:r>
            <w:r>
              <w:rPr>
                <w:rFonts w:hint="eastAsia"/>
                <w:sz w:val="24"/>
                <w:szCs w:val="24"/>
              </w:rPr>
              <w:t>计，则生活污水排放量为56</w:t>
            </w:r>
            <w:r>
              <w:rPr>
                <w:sz w:val="24"/>
                <w:szCs w:val="24"/>
              </w:rPr>
              <w:t>t/a</w:t>
            </w:r>
            <w:r>
              <w:rPr>
                <w:rFonts w:hint="eastAsia"/>
                <w:sz w:val="24"/>
                <w:szCs w:val="24"/>
              </w:rPr>
              <w:t>。生活污水中主要污染物为</w:t>
            </w:r>
            <w:r>
              <w:rPr>
                <w:sz w:val="24"/>
                <w:szCs w:val="24"/>
              </w:rPr>
              <w:t>COD350mg/L</w:t>
            </w:r>
            <w:r>
              <w:rPr>
                <w:rFonts w:hint="eastAsia"/>
                <w:sz w:val="24"/>
                <w:szCs w:val="24"/>
              </w:rPr>
              <w:t>、</w:t>
            </w:r>
            <w:r>
              <w:rPr>
                <w:sz w:val="24"/>
                <w:szCs w:val="24"/>
              </w:rPr>
              <w:t>SS 250mg/L</w:t>
            </w:r>
            <w:r>
              <w:rPr>
                <w:rFonts w:hint="eastAsia"/>
                <w:sz w:val="24"/>
                <w:szCs w:val="24"/>
              </w:rPr>
              <w:t>、氨氮</w:t>
            </w:r>
            <w:r>
              <w:rPr>
                <w:sz w:val="24"/>
                <w:szCs w:val="24"/>
              </w:rPr>
              <w:t>30mg/L</w:t>
            </w:r>
            <w:r>
              <w:rPr>
                <w:rFonts w:hint="eastAsia"/>
                <w:sz w:val="24"/>
                <w:szCs w:val="24"/>
              </w:rPr>
              <w:t>、总磷</w:t>
            </w:r>
            <w:r>
              <w:rPr>
                <w:sz w:val="24"/>
                <w:szCs w:val="24"/>
              </w:rPr>
              <w:t>3mg/L</w:t>
            </w:r>
            <w:r>
              <w:rPr>
                <w:rFonts w:hint="eastAsia"/>
                <w:sz w:val="24"/>
                <w:szCs w:val="24"/>
              </w:rPr>
              <w:t>，经厂区内地埋式污水处理设施处理后用于厂区绿化，不外排。</w:t>
            </w:r>
          </w:p>
          <w:p>
            <w:pPr>
              <w:numPr>
                <w:ilvl w:val="0"/>
                <w:numId w:val="5"/>
              </w:numPr>
              <w:adjustRightInd w:val="0"/>
              <w:snapToGrid w:val="0"/>
              <w:spacing w:line="360" w:lineRule="auto"/>
              <w:ind w:firstLine="480" w:firstLineChars="200"/>
              <w:rPr>
                <w:sz w:val="24"/>
                <w:szCs w:val="24"/>
              </w:rPr>
            </w:pPr>
            <w:r>
              <w:rPr>
                <w:rFonts w:hint="eastAsia"/>
                <w:sz w:val="24"/>
                <w:szCs w:val="24"/>
              </w:rPr>
              <w:t>生产用水</w:t>
            </w:r>
          </w:p>
          <w:p>
            <w:pPr>
              <w:adjustRightInd w:val="0"/>
              <w:snapToGrid w:val="0"/>
              <w:spacing w:line="360" w:lineRule="auto"/>
              <w:ind w:firstLine="480" w:firstLineChars="200"/>
              <w:rPr>
                <w:rFonts w:hint="eastAsia"/>
                <w:kern w:val="0"/>
                <w:sz w:val="24"/>
                <w:szCs w:val="24"/>
              </w:rPr>
            </w:pPr>
            <w:r>
              <w:rPr>
                <w:rFonts w:hint="eastAsia"/>
                <w:sz w:val="24"/>
                <w:szCs w:val="24"/>
              </w:rPr>
              <w:t>本项目反应锅漂白工序中需要用水进行稀释，直接使用自来水作为稀释用水，总用水量为4</w:t>
            </w:r>
            <w:r>
              <w:rPr>
                <w:sz w:val="24"/>
                <w:szCs w:val="24"/>
              </w:rPr>
              <w:t>0t/a</w:t>
            </w:r>
            <w:r>
              <w:rPr>
                <w:rFonts w:hint="eastAsia"/>
                <w:sz w:val="24"/>
                <w:szCs w:val="24"/>
              </w:rPr>
              <w:t>。</w:t>
            </w:r>
          </w:p>
          <w:p>
            <w:pPr>
              <w:widowControl/>
              <w:adjustRightInd w:val="0"/>
              <w:snapToGrid w:val="0"/>
              <w:spacing w:line="360" w:lineRule="auto"/>
              <w:ind w:firstLine="480" w:firstLineChars="200"/>
              <w:jc w:val="left"/>
              <w:rPr>
                <w:kern w:val="0"/>
                <w:sz w:val="24"/>
                <w:szCs w:val="24"/>
              </w:rPr>
            </w:pPr>
            <w:r>
              <w:rPr>
                <w:rFonts w:hint="eastAsia"/>
                <w:kern w:val="0"/>
                <w:sz w:val="24"/>
                <w:szCs w:val="24"/>
              </w:rPr>
              <w:t>（</w:t>
            </w:r>
            <w:r>
              <w:rPr>
                <w:kern w:val="0"/>
                <w:sz w:val="24"/>
                <w:szCs w:val="24"/>
              </w:rPr>
              <w:t>3</w:t>
            </w:r>
            <w:r>
              <w:rPr>
                <w:rFonts w:hint="eastAsia"/>
                <w:kern w:val="0"/>
                <w:sz w:val="24"/>
                <w:szCs w:val="24"/>
              </w:rPr>
              <w:t>）绿化用水</w:t>
            </w:r>
          </w:p>
          <w:p>
            <w:pPr>
              <w:adjustRightInd w:val="0"/>
              <w:snapToGrid w:val="0"/>
              <w:spacing w:line="360" w:lineRule="auto"/>
              <w:ind w:firstLine="480" w:firstLineChars="200"/>
              <w:rPr>
                <w:rFonts w:ascii="Calibri" w:hAnsi="Calibri"/>
                <w:szCs w:val="22"/>
              </w:rPr>
            </w:pPr>
            <w:r>
              <w:rPr>
                <w:rFonts w:hint="eastAsia"/>
                <w:sz w:val="24"/>
                <w:szCs w:val="24"/>
              </w:rPr>
              <w:t>全厂绿化面积约2</w:t>
            </w:r>
            <w:r>
              <w:rPr>
                <w:sz w:val="24"/>
                <w:szCs w:val="24"/>
              </w:rPr>
              <w:t>00m</w:t>
            </w:r>
            <w:r>
              <w:rPr>
                <w:sz w:val="24"/>
                <w:szCs w:val="24"/>
                <w:vertAlign w:val="superscript"/>
              </w:rPr>
              <w:t>2</w:t>
            </w:r>
            <w:r>
              <w:rPr>
                <w:rFonts w:hint="eastAsia"/>
                <w:sz w:val="24"/>
                <w:szCs w:val="24"/>
              </w:rPr>
              <w:t>，绿化用水量按照</w:t>
            </w:r>
            <w:r>
              <w:rPr>
                <w:sz w:val="24"/>
                <w:szCs w:val="24"/>
              </w:rPr>
              <w:t>1L/m</w:t>
            </w:r>
            <w:r>
              <w:rPr>
                <w:sz w:val="24"/>
                <w:szCs w:val="24"/>
                <w:vertAlign w:val="superscript"/>
              </w:rPr>
              <w:t>2</w:t>
            </w:r>
            <w:r>
              <w:rPr>
                <w:sz w:val="24"/>
                <w:szCs w:val="24"/>
              </w:rPr>
              <w:t>·d</w:t>
            </w:r>
            <w:r>
              <w:rPr>
                <w:rFonts w:hint="eastAsia"/>
                <w:sz w:val="24"/>
                <w:szCs w:val="24"/>
              </w:rPr>
              <w:t>计，绿化天数按20</w:t>
            </w:r>
            <w:r>
              <w:rPr>
                <w:sz w:val="24"/>
                <w:szCs w:val="24"/>
              </w:rPr>
              <w:t>0d/a</w:t>
            </w:r>
            <w:r>
              <w:rPr>
                <w:rFonts w:hint="eastAsia"/>
                <w:sz w:val="24"/>
                <w:szCs w:val="24"/>
              </w:rPr>
              <w:t>计，则全厂绿化用水需40</w:t>
            </w:r>
            <w:r>
              <w:rPr>
                <w:sz w:val="24"/>
                <w:szCs w:val="24"/>
              </w:rPr>
              <w:t>t/a</w:t>
            </w:r>
            <w:r>
              <w:rPr>
                <w:rFonts w:hint="eastAsia"/>
                <w:sz w:val="24"/>
                <w:szCs w:val="24"/>
              </w:rPr>
              <w:t>。绿化用水全部来自厂区内处理后的生活污水（56</w:t>
            </w:r>
            <w:r>
              <w:rPr>
                <w:sz w:val="24"/>
                <w:szCs w:val="24"/>
              </w:rPr>
              <w:t>t/a</w:t>
            </w:r>
            <w:r>
              <w:rPr>
                <w:rFonts w:hint="eastAsia"/>
                <w:sz w:val="24"/>
                <w:szCs w:val="24"/>
              </w:rPr>
              <w:t>）绿化用水全部蒸发，无外排。</w:t>
            </w:r>
            <w:r>
              <w:rPr>
                <w:rFonts w:hint="eastAsia"/>
                <w:kern w:val="0"/>
                <w:sz w:val="24"/>
                <w:szCs w:val="24"/>
              </w:rPr>
              <w:t>本项目废水排放情况见表</w:t>
            </w:r>
            <w:r>
              <w:rPr>
                <w:kern w:val="0"/>
                <w:sz w:val="24"/>
                <w:szCs w:val="24"/>
              </w:rPr>
              <w:t>5-4</w:t>
            </w:r>
            <w:r>
              <w:rPr>
                <w:rFonts w:hint="eastAsia"/>
                <w:kern w:val="0"/>
                <w:sz w:val="24"/>
                <w:szCs w:val="24"/>
              </w:rPr>
              <w:t>。</w:t>
            </w:r>
            <w:r>
              <w:rPr>
                <w:rFonts w:hint="eastAsia"/>
                <w:sz w:val="24"/>
                <w:szCs w:val="24"/>
              </w:rPr>
              <w:t>本项目用水量平衡见图</w:t>
            </w:r>
            <w:r>
              <w:rPr>
                <w:sz w:val="24"/>
                <w:szCs w:val="24"/>
              </w:rPr>
              <w:t>5-2</w:t>
            </w:r>
            <w:r>
              <w:rPr>
                <w:rFonts w:hint="eastAsia"/>
                <w:sz w:val="24"/>
                <w:szCs w:val="24"/>
              </w:rPr>
              <w:t>。</w:t>
            </w:r>
          </w:p>
          <w:p>
            <w:pPr>
              <w:widowControl/>
              <w:adjustRightInd w:val="0"/>
              <w:snapToGrid w:val="0"/>
              <w:jc w:val="center"/>
              <w:rPr>
                <w:b/>
                <w:kern w:val="0"/>
                <w:sz w:val="24"/>
              </w:rPr>
            </w:pPr>
            <w:r>
              <w:rPr>
                <w:rFonts w:hint="eastAsia"/>
                <w:b/>
                <w:kern w:val="0"/>
                <w:sz w:val="24"/>
              </w:rPr>
              <w:t>表</w:t>
            </w:r>
            <w:r>
              <w:rPr>
                <w:b/>
                <w:kern w:val="0"/>
                <w:sz w:val="24"/>
              </w:rPr>
              <w:t xml:space="preserve">5-4  </w:t>
            </w:r>
            <w:r>
              <w:rPr>
                <w:rFonts w:hint="eastAsia"/>
                <w:b/>
                <w:kern w:val="0"/>
                <w:sz w:val="24"/>
              </w:rPr>
              <w:t>本项目废水排放情况表</w:t>
            </w:r>
          </w:p>
          <w:tbl>
            <w:tblPr>
              <w:tblStyle w:val="33"/>
              <w:tblW w:w="0" w:type="auto"/>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32"/>
              <w:gridCol w:w="1062"/>
              <w:gridCol w:w="1082"/>
              <w:gridCol w:w="1152"/>
              <w:gridCol w:w="1027"/>
              <w:gridCol w:w="1163"/>
              <w:gridCol w:w="1000"/>
              <w:gridCol w:w="959"/>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32" w:type="dxa"/>
                  <w:tcBorders>
                    <w:top w:val="single" w:color="auto" w:sz="12" w:space="0"/>
                    <w:left w:val="nil"/>
                    <w:bottom w:val="single" w:color="auto" w:sz="2" w:space="0"/>
                    <w:right w:val="single" w:color="auto" w:sz="2" w:space="0"/>
                  </w:tcBorders>
                  <w:vAlign w:val="center"/>
                </w:tcPr>
                <w:p>
                  <w:pPr>
                    <w:widowControl/>
                    <w:adjustRightInd w:val="0"/>
                    <w:snapToGrid w:val="0"/>
                    <w:jc w:val="center"/>
                    <w:rPr>
                      <w:b/>
                      <w:kern w:val="0"/>
                      <w:szCs w:val="21"/>
                    </w:rPr>
                  </w:pPr>
                  <w:r>
                    <w:rPr>
                      <w:rFonts w:hint="eastAsia"/>
                      <w:b/>
                      <w:kern w:val="0"/>
                      <w:szCs w:val="21"/>
                    </w:rPr>
                    <w:t>废水</w:t>
                  </w:r>
                </w:p>
              </w:tc>
              <w:tc>
                <w:tcPr>
                  <w:tcW w:w="1062" w:type="dxa"/>
                  <w:tcBorders>
                    <w:top w:val="single" w:color="auto" w:sz="12" w:space="0"/>
                    <w:left w:val="single" w:color="auto" w:sz="2" w:space="0"/>
                    <w:bottom w:val="single" w:color="auto" w:sz="2" w:space="0"/>
                    <w:right w:val="single" w:color="auto" w:sz="2" w:space="0"/>
                  </w:tcBorders>
                  <w:vAlign w:val="center"/>
                </w:tcPr>
                <w:p>
                  <w:pPr>
                    <w:widowControl/>
                    <w:adjustRightInd w:val="0"/>
                    <w:snapToGrid w:val="0"/>
                    <w:jc w:val="center"/>
                    <w:rPr>
                      <w:b/>
                      <w:kern w:val="0"/>
                      <w:szCs w:val="21"/>
                    </w:rPr>
                  </w:pPr>
                  <w:r>
                    <w:rPr>
                      <w:rFonts w:hint="eastAsia"/>
                      <w:b/>
                      <w:kern w:val="0"/>
                      <w:szCs w:val="21"/>
                    </w:rPr>
                    <w:t>污染物名称</w:t>
                  </w:r>
                </w:p>
              </w:tc>
              <w:tc>
                <w:tcPr>
                  <w:tcW w:w="1082" w:type="dxa"/>
                  <w:tcBorders>
                    <w:top w:val="single" w:color="auto" w:sz="12" w:space="0"/>
                    <w:left w:val="single" w:color="auto" w:sz="2" w:space="0"/>
                    <w:bottom w:val="single" w:color="auto" w:sz="2" w:space="0"/>
                    <w:right w:val="single" w:color="auto" w:sz="2" w:space="0"/>
                  </w:tcBorders>
                  <w:vAlign w:val="center"/>
                </w:tcPr>
                <w:p>
                  <w:pPr>
                    <w:widowControl/>
                    <w:adjustRightInd w:val="0"/>
                    <w:snapToGrid w:val="0"/>
                    <w:jc w:val="center"/>
                    <w:rPr>
                      <w:b/>
                      <w:kern w:val="0"/>
                      <w:szCs w:val="21"/>
                    </w:rPr>
                  </w:pPr>
                  <w:r>
                    <w:rPr>
                      <w:rFonts w:hint="eastAsia"/>
                      <w:b/>
                      <w:kern w:val="0"/>
                      <w:szCs w:val="21"/>
                    </w:rPr>
                    <w:t>污染物浓度</w:t>
                  </w:r>
                  <w:r>
                    <w:rPr>
                      <w:b/>
                      <w:kern w:val="0"/>
                      <w:szCs w:val="21"/>
                    </w:rPr>
                    <w:t>(mg/L)</w:t>
                  </w:r>
                </w:p>
              </w:tc>
              <w:tc>
                <w:tcPr>
                  <w:tcW w:w="1152" w:type="dxa"/>
                  <w:tcBorders>
                    <w:top w:val="single" w:color="auto" w:sz="12" w:space="0"/>
                    <w:left w:val="single" w:color="auto" w:sz="2" w:space="0"/>
                    <w:bottom w:val="single" w:color="auto" w:sz="2" w:space="0"/>
                    <w:right w:val="single" w:color="auto" w:sz="2" w:space="0"/>
                  </w:tcBorders>
                  <w:vAlign w:val="center"/>
                </w:tcPr>
                <w:p>
                  <w:pPr>
                    <w:widowControl/>
                    <w:adjustRightInd w:val="0"/>
                    <w:snapToGrid w:val="0"/>
                    <w:jc w:val="center"/>
                    <w:rPr>
                      <w:b/>
                      <w:kern w:val="0"/>
                      <w:szCs w:val="21"/>
                    </w:rPr>
                  </w:pPr>
                  <w:r>
                    <w:rPr>
                      <w:rFonts w:hint="eastAsia"/>
                      <w:b/>
                      <w:kern w:val="0"/>
                      <w:szCs w:val="21"/>
                    </w:rPr>
                    <w:t>产生量</w:t>
                  </w:r>
                  <w:r>
                    <w:rPr>
                      <w:b/>
                      <w:kern w:val="0"/>
                      <w:szCs w:val="21"/>
                    </w:rPr>
                    <w:t>(t/a)</w:t>
                  </w:r>
                </w:p>
              </w:tc>
              <w:tc>
                <w:tcPr>
                  <w:tcW w:w="1027" w:type="dxa"/>
                  <w:tcBorders>
                    <w:top w:val="single" w:color="auto" w:sz="12" w:space="0"/>
                    <w:left w:val="single" w:color="auto" w:sz="2" w:space="0"/>
                    <w:bottom w:val="single" w:color="auto" w:sz="2" w:space="0"/>
                    <w:right w:val="single" w:color="auto" w:sz="4" w:space="0"/>
                  </w:tcBorders>
                  <w:vAlign w:val="center"/>
                </w:tcPr>
                <w:p>
                  <w:pPr>
                    <w:widowControl/>
                    <w:adjustRightInd w:val="0"/>
                    <w:snapToGrid w:val="0"/>
                    <w:jc w:val="center"/>
                    <w:rPr>
                      <w:b/>
                      <w:kern w:val="0"/>
                      <w:szCs w:val="21"/>
                    </w:rPr>
                  </w:pPr>
                  <w:r>
                    <w:rPr>
                      <w:rFonts w:hint="eastAsia"/>
                      <w:b/>
                      <w:kern w:val="0"/>
                      <w:szCs w:val="21"/>
                    </w:rPr>
                    <w:t>治理措施</w:t>
                  </w:r>
                </w:p>
              </w:tc>
              <w:tc>
                <w:tcPr>
                  <w:tcW w:w="1163" w:type="dxa"/>
                  <w:tcBorders>
                    <w:top w:val="single" w:color="auto" w:sz="12" w:space="0"/>
                    <w:left w:val="single" w:color="auto" w:sz="4" w:space="0"/>
                    <w:bottom w:val="single" w:color="auto" w:sz="2" w:space="0"/>
                    <w:right w:val="single" w:color="auto" w:sz="2" w:space="0"/>
                  </w:tcBorders>
                  <w:vAlign w:val="center"/>
                </w:tcPr>
                <w:p>
                  <w:pPr>
                    <w:widowControl/>
                    <w:adjustRightInd w:val="0"/>
                    <w:snapToGrid w:val="0"/>
                    <w:jc w:val="center"/>
                    <w:rPr>
                      <w:b/>
                      <w:kern w:val="0"/>
                      <w:szCs w:val="21"/>
                    </w:rPr>
                  </w:pPr>
                  <w:r>
                    <w:rPr>
                      <w:rFonts w:hint="eastAsia"/>
                      <w:b/>
                      <w:kern w:val="0"/>
                      <w:szCs w:val="21"/>
                    </w:rPr>
                    <w:t>削减量</w:t>
                  </w:r>
                  <w:r>
                    <w:rPr>
                      <w:b/>
                      <w:kern w:val="0"/>
                      <w:szCs w:val="21"/>
                    </w:rPr>
                    <w:t>(t/a)</w:t>
                  </w:r>
                </w:p>
              </w:tc>
              <w:tc>
                <w:tcPr>
                  <w:tcW w:w="1000" w:type="dxa"/>
                  <w:tcBorders>
                    <w:top w:val="single" w:color="auto" w:sz="12" w:space="0"/>
                    <w:left w:val="single" w:color="auto" w:sz="2" w:space="0"/>
                    <w:bottom w:val="single" w:color="auto" w:sz="2" w:space="0"/>
                    <w:right w:val="single" w:color="auto" w:sz="2" w:space="0"/>
                  </w:tcBorders>
                  <w:vAlign w:val="center"/>
                </w:tcPr>
                <w:p>
                  <w:pPr>
                    <w:widowControl/>
                    <w:adjustRightInd w:val="0"/>
                    <w:snapToGrid w:val="0"/>
                    <w:jc w:val="center"/>
                    <w:rPr>
                      <w:b/>
                      <w:kern w:val="0"/>
                      <w:szCs w:val="21"/>
                    </w:rPr>
                  </w:pPr>
                  <w:r>
                    <w:rPr>
                      <w:rFonts w:hint="eastAsia"/>
                      <w:b/>
                      <w:kern w:val="0"/>
                      <w:szCs w:val="21"/>
                    </w:rPr>
                    <w:t>排放量</w:t>
                  </w:r>
                  <w:r>
                    <w:rPr>
                      <w:b/>
                      <w:kern w:val="0"/>
                      <w:szCs w:val="21"/>
                    </w:rPr>
                    <w:t>(t/a)</w:t>
                  </w:r>
                </w:p>
              </w:tc>
              <w:tc>
                <w:tcPr>
                  <w:tcW w:w="959" w:type="dxa"/>
                  <w:tcBorders>
                    <w:top w:val="single" w:color="auto" w:sz="12" w:space="0"/>
                    <w:left w:val="single" w:color="auto" w:sz="2" w:space="0"/>
                    <w:bottom w:val="single" w:color="auto" w:sz="2" w:space="0"/>
                    <w:right w:val="nil"/>
                  </w:tcBorders>
                  <w:vAlign w:val="center"/>
                </w:tcPr>
                <w:p>
                  <w:pPr>
                    <w:widowControl/>
                    <w:adjustRightInd w:val="0"/>
                    <w:snapToGrid w:val="0"/>
                    <w:jc w:val="center"/>
                    <w:rPr>
                      <w:b/>
                      <w:kern w:val="0"/>
                      <w:szCs w:val="21"/>
                    </w:rPr>
                  </w:pPr>
                  <w:r>
                    <w:rPr>
                      <w:rFonts w:hint="eastAsia"/>
                      <w:b/>
                      <w:kern w:val="0"/>
                      <w:szCs w:val="21"/>
                    </w:rPr>
                    <w:t>排放去向</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32" w:type="dxa"/>
                  <w:vMerge w:val="restart"/>
                  <w:tcBorders>
                    <w:top w:val="single" w:color="auto" w:sz="2" w:space="0"/>
                    <w:left w:val="nil"/>
                    <w:bottom w:val="single" w:color="auto" w:sz="12" w:space="0"/>
                    <w:right w:val="single" w:color="auto" w:sz="2" w:space="0"/>
                  </w:tcBorders>
                  <w:vAlign w:val="center"/>
                </w:tcPr>
                <w:p>
                  <w:pPr>
                    <w:widowControl/>
                    <w:adjustRightInd w:val="0"/>
                    <w:snapToGrid w:val="0"/>
                    <w:jc w:val="center"/>
                    <w:rPr>
                      <w:kern w:val="0"/>
                      <w:szCs w:val="21"/>
                    </w:rPr>
                  </w:pPr>
                  <w:r>
                    <w:rPr>
                      <w:rFonts w:hint="eastAsia"/>
                      <w:kern w:val="0"/>
                      <w:szCs w:val="21"/>
                    </w:rPr>
                    <w:t>生活污水</w:t>
                  </w:r>
                </w:p>
              </w:tc>
              <w:tc>
                <w:tcPr>
                  <w:tcW w:w="1062"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kern w:val="0"/>
                      <w:szCs w:val="21"/>
                    </w:rPr>
                  </w:pPr>
                  <w:r>
                    <w:rPr>
                      <w:rFonts w:hint="eastAsia"/>
                      <w:kern w:val="0"/>
                      <w:szCs w:val="21"/>
                    </w:rPr>
                    <w:t>水量</w:t>
                  </w:r>
                </w:p>
              </w:tc>
              <w:tc>
                <w:tcPr>
                  <w:tcW w:w="1082"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kern w:val="0"/>
                      <w:szCs w:val="21"/>
                    </w:rPr>
                  </w:pPr>
                  <w:r>
                    <w:rPr>
                      <w:kern w:val="0"/>
                      <w:szCs w:val="21"/>
                    </w:rPr>
                    <w:t>/</w:t>
                  </w:r>
                </w:p>
              </w:tc>
              <w:tc>
                <w:tcPr>
                  <w:tcW w:w="1152"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kern w:val="0"/>
                      <w:szCs w:val="21"/>
                    </w:rPr>
                  </w:pPr>
                  <w:r>
                    <w:rPr>
                      <w:rFonts w:hint="eastAsia"/>
                      <w:kern w:val="0"/>
                      <w:szCs w:val="21"/>
                    </w:rPr>
                    <w:t>56</w:t>
                  </w:r>
                </w:p>
              </w:tc>
              <w:tc>
                <w:tcPr>
                  <w:tcW w:w="1027" w:type="dxa"/>
                  <w:vMerge w:val="restart"/>
                  <w:tcBorders>
                    <w:top w:val="single" w:color="auto" w:sz="2" w:space="0"/>
                    <w:left w:val="single" w:color="auto" w:sz="2" w:space="0"/>
                    <w:bottom w:val="single" w:color="auto" w:sz="12" w:space="0"/>
                    <w:right w:val="single" w:color="auto" w:sz="4" w:space="0"/>
                  </w:tcBorders>
                  <w:vAlign w:val="center"/>
                </w:tcPr>
                <w:p>
                  <w:pPr>
                    <w:widowControl/>
                    <w:adjustRightInd w:val="0"/>
                    <w:snapToGrid w:val="0"/>
                    <w:jc w:val="center"/>
                    <w:rPr>
                      <w:kern w:val="0"/>
                      <w:szCs w:val="21"/>
                    </w:rPr>
                  </w:pPr>
                  <w:r>
                    <w:rPr>
                      <w:rFonts w:hint="eastAsia"/>
                      <w:kern w:val="0"/>
                      <w:szCs w:val="21"/>
                    </w:rPr>
                    <w:t>地埋式污水处理设施</w:t>
                  </w:r>
                </w:p>
              </w:tc>
              <w:tc>
                <w:tcPr>
                  <w:tcW w:w="1163" w:type="dxa"/>
                  <w:tcBorders>
                    <w:top w:val="single" w:color="auto" w:sz="4" w:space="0"/>
                    <w:left w:val="single" w:color="auto" w:sz="4" w:space="0"/>
                    <w:bottom w:val="single" w:color="auto" w:sz="2" w:space="0"/>
                    <w:right w:val="single" w:color="auto" w:sz="2" w:space="0"/>
                  </w:tcBorders>
                  <w:vAlign w:val="center"/>
                </w:tcPr>
                <w:p>
                  <w:pPr>
                    <w:adjustRightInd w:val="0"/>
                    <w:snapToGrid w:val="0"/>
                    <w:jc w:val="center"/>
                    <w:rPr>
                      <w:kern w:val="0"/>
                      <w:szCs w:val="21"/>
                    </w:rPr>
                  </w:pPr>
                  <w:r>
                    <w:rPr>
                      <w:rFonts w:hint="eastAsia"/>
                      <w:kern w:val="0"/>
                      <w:szCs w:val="21"/>
                    </w:rPr>
                    <w:t>56</w:t>
                  </w:r>
                </w:p>
              </w:tc>
              <w:tc>
                <w:tcPr>
                  <w:tcW w:w="1000"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kern w:val="0"/>
                      <w:szCs w:val="21"/>
                    </w:rPr>
                  </w:pPr>
                  <w:r>
                    <w:rPr>
                      <w:kern w:val="0"/>
                      <w:szCs w:val="21"/>
                    </w:rPr>
                    <w:t>0</w:t>
                  </w:r>
                </w:p>
              </w:tc>
              <w:tc>
                <w:tcPr>
                  <w:tcW w:w="959" w:type="dxa"/>
                  <w:vMerge w:val="restart"/>
                  <w:tcBorders>
                    <w:top w:val="single" w:color="auto" w:sz="2" w:space="0"/>
                    <w:left w:val="single" w:color="auto" w:sz="2" w:space="0"/>
                    <w:bottom w:val="single" w:color="auto" w:sz="12" w:space="0"/>
                    <w:right w:val="nil"/>
                  </w:tcBorders>
                  <w:vAlign w:val="center"/>
                </w:tcPr>
                <w:p>
                  <w:pPr>
                    <w:widowControl/>
                    <w:adjustRightInd w:val="0"/>
                    <w:snapToGrid w:val="0"/>
                    <w:jc w:val="center"/>
                    <w:rPr>
                      <w:kern w:val="0"/>
                      <w:szCs w:val="21"/>
                    </w:rPr>
                  </w:pPr>
                  <w:r>
                    <w:rPr>
                      <w:rFonts w:hint="eastAsia"/>
                      <w:kern w:val="0"/>
                      <w:szCs w:val="21"/>
                    </w:rPr>
                    <w:t>厂区绿化</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32" w:type="dxa"/>
                  <w:vMerge w:val="continue"/>
                  <w:tcBorders>
                    <w:top w:val="single" w:color="auto" w:sz="2" w:space="0"/>
                    <w:left w:val="nil"/>
                    <w:bottom w:val="single" w:color="auto" w:sz="12" w:space="0"/>
                    <w:right w:val="single" w:color="auto" w:sz="2" w:space="0"/>
                  </w:tcBorders>
                  <w:vAlign w:val="center"/>
                </w:tcPr>
                <w:p>
                  <w:pPr>
                    <w:widowControl/>
                    <w:adjustRightInd w:val="0"/>
                    <w:snapToGrid w:val="0"/>
                    <w:jc w:val="center"/>
                    <w:rPr>
                      <w:kern w:val="0"/>
                      <w:szCs w:val="21"/>
                    </w:rPr>
                  </w:pPr>
                </w:p>
              </w:tc>
              <w:tc>
                <w:tcPr>
                  <w:tcW w:w="1062"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kern w:val="0"/>
                      <w:szCs w:val="21"/>
                    </w:rPr>
                  </w:pPr>
                  <w:r>
                    <w:rPr>
                      <w:kern w:val="0"/>
                      <w:szCs w:val="21"/>
                    </w:rPr>
                    <w:t>COD</w:t>
                  </w:r>
                </w:p>
              </w:tc>
              <w:tc>
                <w:tcPr>
                  <w:tcW w:w="1082"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kern w:val="0"/>
                      <w:szCs w:val="21"/>
                    </w:rPr>
                  </w:pPr>
                  <w:r>
                    <w:rPr>
                      <w:kern w:val="0"/>
                      <w:szCs w:val="21"/>
                    </w:rPr>
                    <w:t>350</w:t>
                  </w:r>
                </w:p>
              </w:tc>
              <w:tc>
                <w:tcPr>
                  <w:tcW w:w="1152"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kern w:val="0"/>
                      <w:szCs w:val="21"/>
                    </w:rPr>
                  </w:pPr>
                  <w:r>
                    <w:rPr>
                      <w:rFonts w:hint="eastAsia"/>
                      <w:kern w:val="0"/>
                      <w:szCs w:val="21"/>
                    </w:rPr>
                    <w:t>0.0196</w:t>
                  </w:r>
                </w:p>
              </w:tc>
              <w:tc>
                <w:tcPr>
                  <w:tcW w:w="1027" w:type="dxa"/>
                  <w:vMerge w:val="continue"/>
                  <w:tcBorders>
                    <w:top w:val="single" w:color="auto" w:sz="2" w:space="0"/>
                    <w:left w:val="single" w:color="auto" w:sz="2" w:space="0"/>
                    <w:bottom w:val="single" w:color="auto" w:sz="12" w:space="0"/>
                    <w:right w:val="single" w:color="auto" w:sz="4" w:space="0"/>
                  </w:tcBorders>
                  <w:vAlign w:val="center"/>
                </w:tcPr>
                <w:p>
                  <w:pPr>
                    <w:widowControl/>
                    <w:adjustRightInd w:val="0"/>
                    <w:snapToGrid w:val="0"/>
                    <w:jc w:val="center"/>
                    <w:rPr>
                      <w:kern w:val="0"/>
                      <w:szCs w:val="21"/>
                    </w:rPr>
                  </w:pPr>
                </w:p>
              </w:tc>
              <w:tc>
                <w:tcPr>
                  <w:tcW w:w="1163" w:type="dxa"/>
                  <w:tcBorders>
                    <w:top w:val="single" w:color="auto" w:sz="4" w:space="0"/>
                    <w:left w:val="single" w:color="auto" w:sz="4" w:space="0"/>
                    <w:bottom w:val="single" w:color="auto" w:sz="2" w:space="0"/>
                    <w:right w:val="single" w:color="auto" w:sz="2" w:space="0"/>
                  </w:tcBorders>
                  <w:vAlign w:val="center"/>
                </w:tcPr>
                <w:p>
                  <w:pPr>
                    <w:adjustRightInd w:val="0"/>
                    <w:snapToGrid w:val="0"/>
                    <w:jc w:val="center"/>
                    <w:rPr>
                      <w:kern w:val="0"/>
                      <w:szCs w:val="21"/>
                    </w:rPr>
                  </w:pPr>
                  <w:r>
                    <w:rPr>
                      <w:rFonts w:hint="eastAsia"/>
                      <w:kern w:val="0"/>
                      <w:szCs w:val="21"/>
                    </w:rPr>
                    <w:t>0.0196</w:t>
                  </w:r>
                </w:p>
              </w:tc>
              <w:tc>
                <w:tcPr>
                  <w:tcW w:w="1000"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kern w:val="0"/>
                      <w:szCs w:val="21"/>
                    </w:rPr>
                  </w:pPr>
                  <w:r>
                    <w:rPr>
                      <w:rStyle w:val="40"/>
                    </w:rPr>
                    <w:t>0</w:t>
                  </w:r>
                </w:p>
              </w:tc>
              <w:tc>
                <w:tcPr>
                  <w:tcW w:w="959" w:type="dxa"/>
                  <w:vMerge w:val="continue"/>
                  <w:tcBorders>
                    <w:top w:val="single" w:color="auto" w:sz="2" w:space="0"/>
                    <w:left w:val="single" w:color="auto" w:sz="2" w:space="0"/>
                    <w:bottom w:val="single" w:color="auto" w:sz="12" w:space="0"/>
                    <w:right w:val="nil"/>
                  </w:tcBorders>
                  <w:vAlign w:val="center"/>
                </w:tcPr>
                <w:p>
                  <w:pPr>
                    <w:widowControl/>
                    <w:adjustRightInd w:val="0"/>
                    <w:snapToGrid w:val="0"/>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32" w:type="dxa"/>
                  <w:vMerge w:val="continue"/>
                  <w:tcBorders>
                    <w:top w:val="single" w:color="auto" w:sz="2" w:space="0"/>
                    <w:left w:val="nil"/>
                    <w:bottom w:val="single" w:color="auto" w:sz="12" w:space="0"/>
                    <w:right w:val="single" w:color="auto" w:sz="2" w:space="0"/>
                  </w:tcBorders>
                  <w:vAlign w:val="center"/>
                </w:tcPr>
                <w:p>
                  <w:pPr>
                    <w:widowControl/>
                    <w:adjustRightInd w:val="0"/>
                    <w:snapToGrid w:val="0"/>
                    <w:jc w:val="center"/>
                    <w:rPr>
                      <w:kern w:val="0"/>
                      <w:szCs w:val="21"/>
                    </w:rPr>
                  </w:pPr>
                </w:p>
              </w:tc>
              <w:tc>
                <w:tcPr>
                  <w:tcW w:w="1062"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kern w:val="0"/>
                      <w:szCs w:val="21"/>
                    </w:rPr>
                  </w:pPr>
                  <w:r>
                    <w:rPr>
                      <w:kern w:val="0"/>
                      <w:szCs w:val="21"/>
                    </w:rPr>
                    <w:t>SS</w:t>
                  </w:r>
                </w:p>
              </w:tc>
              <w:tc>
                <w:tcPr>
                  <w:tcW w:w="1082"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kern w:val="0"/>
                      <w:szCs w:val="21"/>
                    </w:rPr>
                  </w:pPr>
                  <w:r>
                    <w:rPr>
                      <w:kern w:val="0"/>
                      <w:szCs w:val="21"/>
                    </w:rPr>
                    <w:t>250</w:t>
                  </w:r>
                </w:p>
              </w:tc>
              <w:tc>
                <w:tcPr>
                  <w:tcW w:w="1152"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kern w:val="0"/>
                      <w:szCs w:val="21"/>
                    </w:rPr>
                  </w:pPr>
                  <w:r>
                    <w:rPr>
                      <w:rFonts w:hint="eastAsia"/>
                      <w:kern w:val="0"/>
                      <w:szCs w:val="21"/>
                    </w:rPr>
                    <w:t>0.014</w:t>
                  </w:r>
                </w:p>
              </w:tc>
              <w:tc>
                <w:tcPr>
                  <w:tcW w:w="1027" w:type="dxa"/>
                  <w:vMerge w:val="continue"/>
                  <w:tcBorders>
                    <w:top w:val="single" w:color="auto" w:sz="2" w:space="0"/>
                    <w:left w:val="single" w:color="auto" w:sz="2" w:space="0"/>
                    <w:bottom w:val="single" w:color="auto" w:sz="12" w:space="0"/>
                    <w:right w:val="single" w:color="auto" w:sz="4" w:space="0"/>
                  </w:tcBorders>
                  <w:vAlign w:val="center"/>
                </w:tcPr>
                <w:p>
                  <w:pPr>
                    <w:widowControl/>
                    <w:adjustRightInd w:val="0"/>
                    <w:snapToGrid w:val="0"/>
                    <w:jc w:val="center"/>
                    <w:rPr>
                      <w:kern w:val="0"/>
                      <w:szCs w:val="21"/>
                    </w:rPr>
                  </w:pPr>
                </w:p>
              </w:tc>
              <w:tc>
                <w:tcPr>
                  <w:tcW w:w="1163" w:type="dxa"/>
                  <w:tcBorders>
                    <w:top w:val="single" w:color="auto" w:sz="2" w:space="0"/>
                    <w:left w:val="single" w:color="auto" w:sz="4" w:space="0"/>
                    <w:bottom w:val="single" w:color="auto" w:sz="2" w:space="0"/>
                    <w:right w:val="single" w:color="auto" w:sz="2" w:space="0"/>
                  </w:tcBorders>
                  <w:vAlign w:val="center"/>
                </w:tcPr>
                <w:p>
                  <w:pPr>
                    <w:adjustRightInd w:val="0"/>
                    <w:snapToGrid w:val="0"/>
                    <w:jc w:val="center"/>
                    <w:rPr>
                      <w:kern w:val="0"/>
                      <w:szCs w:val="21"/>
                    </w:rPr>
                  </w:pPr>
                  <w:r>
                    <w:rPr>
                      <w:rFonts w:hint="eastAsia"/>
                      <w:kern w:val="0"/>
                      <w:szCs w:val="21"/>
                    </w:rPr>
                    <w:t>0.014</w:t>
                  </w:r>
                </w:p>
              </w:tc>
              <w:tc>
                <w:tcPr>
                  <w:tcW w:w="1000"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kern w:val="0"/>
                      <w:szCs w:val="21"/>
                    </w:rPr>
                  </w:pPr>
                  <w:r>
                    <w:rPr>
                      <w:kern w:val="0"/>
                      <w:szCs w:val="21"/>
                    </w:rPr>
                    <w:t>0</w:t>
                  </w:r>
                </w:p>
              </w:tc>
              <w:tc>
                <w:tcPr>
                  <w:tcW w:w="959" w:type="dxa"/>
                  <w:vMerge w:val="continue"/>
                  <w:tcBorders>
                    <w:top w:val="single" w:color="auto" w:sz="2" w:space="0"/>
                    <w:left w:val="single" w:color="auto" w:sz="2" w:space="0"/>
                    <w:bottom w:val="single" w:color="auto" w:sz="12" w:space="0"/>
                    <w:right w:val="nil"/>
                  </w:tcBorders>
                  <w:vAlign w:val="center"/>
                </w:tcPr>
                <w:p>
                  <w:pPr>
                    <w:widowControl/>
                    <w:adjustRightInd w:val="0"/>
                    <w:snapToGrid w:val="0"/>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32" w:type="dxa"/>
                  <w:vMerge w:val="continue"/>
                  <w:tcBorders>
                    <w:top w:val="single" w:color="auto" w:sz="2" w:space="0"/>
                    <w:left w:val="nil"/>
                    <w:bottom w:val="single" w:color="auto" w:sz="12" w:space="0"/>
                    <w:right w:val="single" w:color="auto" w:sz="2" w:space="0"/>
                  </w:tcBorders>
                  <w:vAlign w:val="center"/>
                </w:tcPr>
                <w:p>
                  <w:pPr>
                    <w:widowControl/>
                    <w:adjustRightInd w:val="0"/>
                    <w:snapToGrid w:val="0"/>
                    <w:jc w:val="center"/>
                    <w:rPr>
                      <w:kern w:val="0"/>
                      <w:szCs w:val="21"/>
                    </w:rPr>
                  </w:pPr>
                </w:p>
              </w:tc>
              <w:tc>
                <w:tcPr>
                  <w:tcW w:w="1062"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kern w:val="0"/>
                      <w:szCs w:val="21"/>
                    </w:rPr>
                  </w:pPr>
                  <w:r>
                    <w:rPr>
                      <w:kern w:val="0"/>
                      <w:szCs w:val="21"/>
                    </w:rPr>
                    <w:t>NH</w:t>
                  </w:r>
                  <w:r>
                    <w:rPr>
                      <w:kern w:val="0"/>
                      <w:szCs w:val="21"/>
                      <w:vertAlign w:val="subscript"/>
                    </w:rPr>
                    <w:t>3</w:t>
                  </w:r>
                  <w:r>
                    <w:rPr>
                      <w:kern w:val="0"/>
                      <w:szCs w:val="21"/>
                    </w:rPr>
                    <w:t>-N</w:t>
                  </w:r>
                </w:p>
              </w:tc>
              <w:tc>
                <w:tcPr>
                  <w:tcW w:w="1082"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kern w:val="0"/>
                      <w:szCs w:val="21"/>
                    </w:rPr>
                  </w:pPr>
                  <w:r>
                    <w:rPr>
                      <w:kern w:val="0"/>
                      <w:szCs w:val="21"/>
                    </w:rPr>
                    <w:t>30</w:t>
                  </w:r>
                </w:p>
              </w:tc>
              <w:tc>
                <w:tcPr>
                  <w:tcW w:w="1152"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kern w:val="0"/>
                      <w:szCs w:val="21"/>
                    </w:rPr>
                  </w:pPr>
                  <w:r>
                    <w:rPr>
                      <w:rFonts w:hint="eastAsia"/>
                      <w:kern w:val="0"/>
                      <w:szCs w:val="21"/>
                    </w:rPr>
                    <w:t>0.00168</w:t>
                  </w:r>
                </w:p>
              </w:tc>
              <w:tc>
                <w:tcPr>
                  <w:tcW w:w="1027" w:type="dxa"/>
                  <w:vMerge w:val="continue"/>
                  <w:tcBorders>
                    <w:top w:val="single" w:color="auto" w:sz="2" w:space="0"/>
                    <w:left w:val="single" w:color="auto" w:sz="2" w:space="0"/>
                    <w:bottom w:val="single" w:color="auto" w:sz="12" w:space="0"/>
                    <w:right w:val="single" w:color="auto" w:sz="4" w:space="0"/>
                  </w:tcBorders>
                  <w:vAlign w:val="center"/>
                </w:tcPr>
                <w:p>
                  <w:pPr>
                    <w:widowControl/>
                    <w:adjustRightInd w:val="0"/>
                    <w:snapToGrid w:val="0"/>
                    <w:jc w:val="center"/>
                    <w:rPr>
                      <w:kern w:val="0"/>
                      <w:szCs w:val="21"/>
                    </w:rPr>
                  </w:pPr>
                </w:p>
              </w:tc>
              <w:tc>
                <w:tcPr>
                  <w:tcW w:w="1163" w:type="dxa"/>
                  <w:tcBorders>
                    <w:top w:val="single" w:color="auto" w:sz="2" w:space="0"/>
                    <w:left w:val="single" w:color="auto" w:sz="4" w:space="0"/>
                    <w:bottom w:val="single" w:color="auto" w:sz="2" w:space="0"/>
                    <w:right w:val="single" w:color="auto" w:sz="2" w:space="0"/>
                  </w:tcBorders>
                  <w:vAlign w:val="center"/>
                </w:tcPr>
                <w:p>
                  <w:pPr>
                    <w:adjustRightInd w:val="0"/>
                    <w:snapToGrid w:val="0"/>
                    <w:jc w:val="center"/>
                    <w:rPr>
                      <w:kern w:val="0"/>
                      <w:szCs w:val="21"/>
                    </w:rPr>
                  </w:pPr>
                  <w:r>
                    <w:rPr>
                      <w:rFonts w:hint="eastAsia"/>
                      <w:kern w:val="0"/>
                      <w:szCs w:val="21"/>
                    </w:rPr>
                    <w:t>0.00168</w:t>
                  </w:r>
                </w:p>
              </w:tc>
              <w:tc>
                <w:tcPr>
                  <w:tcW w:w="1000"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kern w:val="0"/>
                      <w:szCs w:val="21"/>
                    </w:rPr>
                  </w:pPr>
                  <w:r>
                    <w:rPr>
                      <w:kern w:val="0"/>
                      <w:szCs w:val="21"/>
                    </w:rPr>
                    <w:t>0</w:t>
                  </w:r>
                </w:p>
              </w:tc>
              <w:tc>
                <w:tcPr>
                  <w:tcW w:w="959" w:type="dxa"/>
                  <w:vMerge w:val="continue"/>
                  <w:tcBorders>
                    <w:top w:val="single" w:color="auto" w:sz="2" w:space="0"/>
                    <w:left w:val="single" w:color="auto" w:sz="2" w:space="0"/>
                    <w:bottom w:val="single" w:color="auto" w:sz="12" w:space="0"/>
                    <w:right w:val="nil"/>
                  </w:tcBorders>
                  <w:vAlign w:val="center"/>
                </w:tcPr>
                <w:p>
                  <w:pPr>
                    <w:widowControl/>
                    <w:adjustRightInd w:val="0"/>
                    <w:snapToGrid w:val="0"/>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32" w:type="dxa"/>
                  <w:vMerge w:val="continue"/>
                  <w:tcBorders>
                    <w:top w:val="single" w:color="auto" w:sz="2" w:space="0"/>
                    <w:left w:val="nil"/>
                    <w:bottom w:val="single" w:color="auto" w:sz="12" w:space="0"/>
                    <w:right w:val="single" w:color="auto" w:sz="2" w:space="0"/>
                  </w:tcBorders>
                  <w:vAlign w:val="center"/>
                </w:tcPr>
                <w:p>
                  <w:pPr>
                    <w:widowControl/>
                    <w:adjustRightInd w:val="0"/>
                    <w:snapToGrid w:val="0"/>
                    <w:jc w:val="center"/>
                    <w:rPr>
                      <w:kern w:val="0"/>
                      <w:szCs w:val="21"/>
                    </w:rPr>
                  </w:pPr>
                </w:p>
              </w:tc>
              <w:tc>
                <w:tcPr>
                  <w:tcW w:w="1062" w:type="dxa"/>
                  <w:tcBorders>
                    <w:top w:val="single" w:color="auto" w:sz="2" w:space="0"/>
                    <w:left w:val="single" w:color="auto" w:sz="2" w:space="0"/>
                    <w:bottom w:val="single" w:color="auto" w:sz="12" w:space="0"/>
                    <w:right w:val="single" w:color="auto" w:sz="2" w:space="0"/>
                  </w:tcBorders>
                  <w:vAlign w:val="center"/>
                </w:tcPr>
                <w:p>
                  <w:pPr>
                    <w:widowControl/>
                    <w:adjustRightInd w:val="0"/>
                    <w:snapToGrid w:val="0"/>
                    <w:jc w:val="center"/>
                    <w:rPr>
                      <w:kern w:val="0"/>
                      <w:szCs w:val="21"/>
                    </w:rPr>
                  </w:pPr>
                  <w:r>
                    <w:rPr>
                      <w:kern w:val="0"/>
                      <w:szCs w:val="21"/>
                    </w:rPr>
                    <w:t>TP</w:t>
                  </w:r>
                </w:p>
              </w:tc>
              <w:tc>
                <w:tcPr>
                  <w:tcW w:w="1082" w:type="dxa"/>
                  <w:tcBorders>
                    <w:top w:val="single" w:color="auto" w:sz="2" w:space="0"/>
                    <w:left w:val="single" w:color="auto" w:sz="2" w:space="0"/>
                    <w:bottom w:val="single" w:color="auto" w:sz="12" w:space="0"/>
                    <w:right w:val="single" w:color="auto" w:sz="2" w:space="0"/>
                  </w:tcBorders>
                  <w:vAlign w:val="center"/>
                </w:tcPr>
                <w:p>
                  <w:pPr>
                    <w:widowControl/>
                    <w:adjustRightInd w:val="0"/>
                    <w:snapToGrid w:val="0"/>
                    <w:jc w:val="center"/>
                    <w:rPr>
                      <w:kern w:val="0"/>
                      <w:szCs w:val="21"/>
                    </w:rPr>
                  </w:pPr>
                  <w:r>
                    <w:rPr>
                      <w:kern w:val="0"/>
                      <w:szCs w:val="21"/>
                    </w:rPr>
                    <w:t>3</w:t>
                  </w:r>
                </w:p>
              </w:tc>
              <w:tc>
                <w:tcPr>
                  <w:tcW w:w="1152" w:type="dxa"/>
                  <w:tcBorders>
                    <w:top w:val="single" w:color="auto" w:sz="2" w:space="0"/>
                    <w:left w:val="single" w:color="auto" w:sz="2" w:space="0"/>
                    <w:bottom w:val="single" w:color="auto" w:sz="12" w:space="0"/>
                    <w:right w:val="single" w:color="auto" w:sz="2" w:space="0"/>
                  </w:tcBorders>
                  <w:vAlign w:val="center"/>
                </w:tcPr>
                <w:p>
                  <w:pPr>
                    <w:adjustRightInd w:val="0"/>
                    <w:snapToGrid w:val="0"/>
                    <w:jc w:val="center"/>
                    <w:rPr>
                      <w:kern w:val="0"/>
                      <w:szCs w:val="21"/>
                    </w:rPr>
                  </w:pPr>
                  <w:r>
                    <w:rPr>
                      <w:rFonts w:hint="eastAsia"/>
                      <w:kern w:val="0"/>
                      <w:szCs w:val="21"/>
                    </w:rPr>
                    <w:t>0.000168</w:t>
                  </w:r>
                </w:p>
              </w:tc>
              <w:tc>
                <w:tcPr>
                  <w:tcW w:w="1027" w:type="dxa"/>
                  <w:vMerge w:val="continue"/>
                  <w:tcBorders>
                    <w:top w:val="single" w:color="auto" w:sz="2" w:space="0"/>
                    <w:left w:val="single" w:color="auto" w:sz="2" w:space="0"/>
                    <w:bottom w:val="single" w:color="auto" w:sz="12" w:space="0"/>
                    <w:right w:val="single" w:color="auto" w:sz="4" w:space="0"/>
                  </w:tcBorders>
                  <w:vAlign w:val="center"/>
                </w:tcPr>
                <w:p>
                  <w:pPr>
                    <w:widowControl/>
                    <w:adjustRightInd w:val="0"/>
                    <w:snapToGrid w:val="0"/>
                    <w:jc w:val="center"/>
                    <w:rPr>
                      <w:kern w:val="0"/>
                      <w:szCs w:val="21"/>
                    </w:rPr>
                  </w:pPr>
                </w:p>
              </w:tc>
              <w:tc>
                <w:tcPr>
                  <w:tcW w:w="1163" w:type="dxa"/>
                  <w:tcBorders>
                    <w:top w:val="single" w:color="auto" w:sz="2" w:space="0"/>
                    <w:left w:val="single" w:color="auto" w:sz="4" w:space="0"/>
                    <w:bottom w:val="single" w:color="auto" w:sz="12" w:space="0"/>
                    <w:right w:val="single" w:color="auto" w:sz="2" w:space="0"/>
                  </w:tcBorders>
                  <w:vAlign w:val="center"/>
                </w:tcPr>
                <w:p>
                  <w:pPr>
                    <w:adjustRightInd w:val="0"/>
                    <w:snapToGrid w:val="0"/>
                    <w:jc w:val="center"/>
                    <w:rPr>
                      <w:kern w:val="0"/>
                      <w:szCs w:val="21"/>
                    </w:rPr>
                  </w:pPr>
                  <w:r>
                    <w:rPr>
                      <w:rFonts w:hint="eastAsia"/>
                      <w:kern w:val="0"/>
                      <w:szCs w:val="21"/>
                    </w:rPr>
                    <w:t>0.000168</w:t>
                  </w:r>
                </w:p>
              </w:tc>
              <w:tc>
                <w:tcPr>
                  <w:tcW w:w="1000" w:type="dxa"/>
                  <w:tcBorders>
                    <w:top w:val="single" w:color="auto" w:sz="2" w:space="0"/>
                    <w:left w:val="single" w:color="auto" w:sz="4" w:space="0"/>
                    <w:bottom w:val="single" w:color="auto" w:sz="12" w:space="0"/>
                    <w:right w:val="single" w:color="auto" w:sz="2" w:space="0"/>
                  </w:tcBorders>
                  <w:vAlign w:val="center"/>
                </w:tcPr>
                <w:p>
                  <w:pPr>
                    <w:adjustRightInd w:val="0"/>
                    <w:snapToGrid w:val="0"/>
                    <w:jc w:val="center"/>
                    <w:rPr>
                      <w:kern w:val="0"/>
                      <w:szCs w:val="21"/>
                    </w:rPr>
                  </w:pPr>
                  <w:r>
                    <w:rPr>
                      <w:kern w:val="0"/>
                      <w:szCs w:val="21"/>
                    </w:rPr>
                    <w:t>0</w:t>
                  </w:r>
                </w:p>
              </w:tc>
              <w:tc>
                <w:tcPr>
                  <w:tcW w:w="959" w:type="dxa"/>
                  <w:vMerge w:val="continue"/>
                  <w:tcBorders>
                    <w:top w:val="single" w:color="auto" w:sz="2" w:space="0"/>
                    <w:left w:val="single" w:color="auto" w:sz="2" w:space="0"/>
                    <w:bottom w:val="single" w:color="auto" w:sz="12" w:space="0"/>
                    <w:right w:val="nil"/>
                  </w:tcBorders>
                  <w:vAlign w:val="center"/>
                </w:tcPr>
                <w:p>
                  <w:pPr>
                    <w:widowControl/>
                    <w:adjustRightInd w:val="0"/>
                    <w:snapToGrid w:val="0"/>
                    <w:jc w:val="center"/>
                    <w:rPr>
                      <w:kern w:val="0"/>
                      <w:szCs w:val="21"/>
                    </w:rPr>
                  </w:pPr>
                </w:p>
              </w:tc>
            </w:tr>
          </w:tbl>
          <w:p>
            <w:pPr>
              <w:adjustRightInd w:val="0"/>
              <w:snapToGrid w:val="0"/>
              <w:jc w:val="center"/>
              <w:rPr>
                <w:rFonts w:ascii="Calibri" w:hAnsi="Calibri"/>
                <w:szCs w:val="24"/>
              </w:rPr>
            </w:pPr>
            <w:r>
              <w:rPr>
                <w:szCs w:val="24"/>
              </w:rPr>
              <w:pict>
                <v:group id="画布 2299" o:spid="_x0000_s6337" o:spt="203" style="height:151.65pt;width:376.55pt;" coordorigin="2187,8776" coordsize="7531,3033" editas="canvas">
                  <o:lock v:ext="edit"/>
                  <v:shape id="画布 2299" o:spid="_x0000_s6338" o:spt="75" type="#_x0000_t75" style="position:absolute;left:2187;top:8776;height:3033;width:7531;" filled="f" stroked="f" coordsize="21600,21600">
                    <v:path/>
                    <v:fill on="f" focussize="0,0"/>
                    <v:stroke on="f"/>
                    <v:imagedata o:title=""/>
                    <o:lock v:ext="edit" rotation="t" aspectratio="t"/>
                  </v:shape>
                  <v:shape id="文本框 2303" o:spid="_x0000_s6339" o:spt="202" type="#_x0000_t202" style="position:absolute;left:2922;top:9841;height:669;width:925;" filled="f" stroked="f" coordsize="21600,21600">
                    <v:path/>
                    <v:fill on="f" focussize="0,0"/>
                    <v:stroke on="f"/>
                    <v:imagedata o:title=""/>
                    <o:lock v:ext="edit" aspectratio="f"/>
                    <v:textbox>
                      <w:txbxContent>
                        <w:p>
                          <w:pPr>
                            <w:adjustRightInd w:val="0"/>
                            <w:snapToGrid w:val="0"/>
                            <w:jc w:val="center"/>
                            <w:rPr>
                              <w:szCs w:val="21"/>
                            </w:rPr>
                          </w:pPr>
                          <w:r>
                            <w:rPr>
                              <w:rFonts w:hint="eastAsia"/>
                              <w:szCs w:val="21"/>
                            </w:rPr>
                            <w:t>自来水</w:t>
                          </w:r>
                        </w:p>
                        <w:p>
                          <w:pPr>
                            <w:adjustRightInd w:val="0"/>
                            <w:snapToGrid w:val="0"/>
                            <w:jc w:val="center"/>
                            <w:rPr>
                              <w:rFonts w:hint="default" w:eastAsia="宋体"/>
                              <w:szCs w:val="21"/>
                              <w:lang w:val="en-US" w:eastAsia="zh-CN"/>
                            </w:rPr>
                          </w:pPr>
                          <w:r>
                            <w:rPr>
                              <w:rFonts w:hint="eastAsia"/>
                              <w:szCs w:val="21"/>
                              <w:lang w:val="en-US" w:eastAsia="zh-CN"/>
                            </w:rPr>
                            <w:t>110</w:t>
                          </w:r>
                        </w:p>
                      </w:txbxContent>
                    </v:textbox>
                  </v:shape>
                  <v:shape id="文本框 2302" o:spid="_x0000_s6340" o:spt="202" type="#_x0000_t202" style="position:absolute;left:3914;top:9293;height:420;width:668;" filled="f" stroked="f" coordsize="21600,21600">
                    <v:path/>
                    <v:fill on="f" focussize="0,0"/>
                    <v:stroke on="f"/>
                    <v:imagedata o:title=""/>
                    <o:lock v:ext="edit" aspectratio="f"/>
                    <v:textbox>
                      <w:txbxContent>
                        <w:p>
                          <w:pPr>
                            <w:adjustRightInd w:val="0"/>
                            <w:snapToGrid w:val="0"/>
                            <w:jc w:val="center"/>
                          </w:pPr>
                          <w:r>
                            <w:rPr>
                              <w:rFonts w:hint="eastAsia"/>
                            </w:rPr>
                            <w:t>70</w:t>
                          </w:r>
                        </w:p>
                      </w:txbxContent>
                    </v:textbox>
                  </v:shape>
                  <v:shape id="自选图形 2307" o:spid="_x0000_s6341" o:spt="38" type="#_x0000_t38" style="position:absolute;left:5284;top:9180;flip:y;height:239;width:392;" filled="f" stroked="t" coordsize="21600,21600" adj="10855">
                    <v:path arrowok="t"/>
                    <v:fill on="f" focussize="0,0"/>
                    <v:stroke color="#000000" endarrow="block"/>
                    <v:imagedata o:title=""/>
                    <o:lock v:ext="edit" aspectratio="f"/>
                  </v:shape>
                  <v:shape id="文本框 2309" o:spid="_x0000_s6342" o:spt="202" type="#_x0000_t202" style="position:absolute;left:4680;top:9416;height:432;width:1239;" filled="f" stroked="t" coordsize="21600,21600">
                    <v:path/>
                    <v:fill on="f" focussize="0,0"/>
                    <v:stroke color="#000000" joinstyle="miter"/>
                    <v:imagedata o:title=""/>
                    <o:lock v:ext="edit" aspectratio="f"/>
                    <v:textbox>
                      <w:txbxContent>
                        <w:p>
                          <w:pPr>
                            <w:adjustRightInd w:val="0"/>
                            <w:snapToGrid w:val="0"/>
                            <w:jc w:val="center"/>
                            <w:rPr>
                              <w:rFonts w:ascii="宋体" w:hAnsi="宋体"/>
                              <w:szCs w:val="21"/>
                            </w:rPr>
                          </w:pPr>
                          <w:r>
                            <w:rPr>
                              <w:rFonts w:hint="eastAsia" w:ascii="宋体" w:hAnsi="宋体"/>
                              <w:szCs w:val="21"/>
                            </w:rPr>
                            <w:t>生活用水</w:t>
                          </w:r>
                        </w:p>
                      </w:txbxContent>
                    </v:textbox>
                  </v:shape>
                  <v:shape id="文本框 2314" o:spid="_x0000_s6343" o:spt="202" type="#_x0000_t202" style="position:absolute;left:6323;top:9280;height:429;width:780;" fillcolor="#FFFFFF" filled="t" stroked="f" coordsize="21600,21600">
                    <v:path/>
                    <v:fill on="t" color2="#FFFFFF" opacity="0f" focussize="0,0"/>
                    <v:stroke on="f"/>
                    <v:imagedata o:title=""/>
                    <o:lock v:ext="edit" aspectratio="f"/>
                    <v:textbox>
                      <w:txbxContent>
                        <w:p>
                          <w:pPr>
                            <w:adjustRightInd w:val="0"/>
                            <w:snapToGrid w:val="0"/>
                            <w:jc w:val="center"/>
                            <w:rPr>
                              <w:szCs w:val="21"/>
                            </w:rPr>
                          </w:pPr>
                          <w:r>
                            <w:rPr>
                              <w:rFonts w:hint="eastAsia"/>
                              <w:szCs w:val="21"/>
                            </w:rPr>
                            <w:t>56</w:t>
                          </w:r>
                        </w:p>
                      </w:txbxContent>
                    </v:textbox>
                  </v:shape>
                  <v:line id="直线 2323" o:spid="_x0000_s6344" o:spt="20" style="position:absolute;left:2810;top:10207;height:1;width:1096;" filled="f" stroked="t" coordsize="21600,21600">
                    <v:path arrowok="t"/>
                    <v:fill on="f" focussize="0,0"/>
                    <v:stroke color="#000000" endarrow="block"/>
                    <v:imagedata o:title=""/>
                    <o:lock v:ext="edit" aspectratio="f"/>
                  </v:line>
                  <v:shape id="文本框 2331" o:spid="_x0000_s6345" o:spt="202" type="#_x0000_t202" style="position:absolute;left:5577;top:8935;height:401;width:1038;" filled="f" stroked="f" coordsize="21600,21600">
                    <v:path/>
                    <v:fill on="f" focussize="0,0"/>
                    <v:stroke on="f"/>
                    <v:imagedata o:title=""/>
                    <o:lock v:ext="edit" aspectratio="f"/>
                    <v:textbox>
                      <w:txbxContent>
                        <w:p>
                          <w:pPr>
                            <w:adjustRightInd w:val="0"/>
                            <w:snapToGrid w:val="0"/>
                            <w:jc w:val="center"/>
                            <w:rPr>
                              <w:rFonts w:ascii="宋体" w:hAnsi="宋体"/>
                              <w:szCs w:val="21"/>
                            </w:rPr>
                          </w:pPr>
                          <w:r>
                            <w:rPr>
                              <w:rFonts w:hint="eastAsia" w:ascii="宋体" w:hAnsi="宋体"/>
                              <w:szCs w:val="21"/>
                            </w:rPr>
                            <w:t>损耗</w:t>
                          </w:r>
                          <w:r>
                            <w:rPr>
                              <w:rFonts w:hint="eastAsia"/>
                              <w:szCs w:val="21"/>
                            </w:rPr>
                            <w:t>14</w:t>
                          </w:r>
                        </w:p>
                      </w:txbxContent>
                    </v:textbox>
                  </v:shape>
                  <v:shape id="文本框 2345" o:spid="_x0000_s6346" o:spt="202" type="#_x0000_t202" style="position:absolute;left:6713;top:10285;height:457;width:2332;" filled="f" stroked="t" coordsize="21600,21600">
                    <v:path/>
                    <v:fill on="f" focussize="0,0"/>
                    <v:stroke color="#000000" joinstyle="miter"/>
                    <v:imagedata o:title=""/>
                    <o:lock v:ext="edit" aspectratio="f"/>
                    <v:textbox>
                      <w:txbxContent>
                        <w:p>
                          <w:pPr>
                            <w:adjustRightInd w:val="0"/>
                            <w:snapToGrid w:val="0"/>
                            <w:jc w:val="center"/>
                            <w:rPr>
                              <w:rFonts w:ascii="宋体" w:hAnsi="宋体"/>
                              <w:szCs w:val="21"/>
                            </w:rPr>
                          </w:pPr>
                          <w:r>
                            <w:rPr>
                              <w:rFonts w:hint="eastAsia" w:ascii="宋体" w:hAnsi="宋体"/>
                              <w:szCs w:val="21"/>
                            </w:rPr>
                            <w:t>地埋式污水处理设施</w:t>
                          </w:r>
                        </w:p>
                      </w:txbxContent>
                    </v:textbox>
                  </v:shape>
                  <v:line id="直线 60" o:spid="_x0000_s6347" o:spt="20" style="position:absolute;left:3905;top:9622;height:1190;width:10;" filled="f" stroked="t" coordsize="21600,21600">
                    <v:path arrowok="t"/>
                    <v:fill on="f" focussize="0,0"/>
                    <v:stroke color="#000000"/>
                    <v:imagedata o:title=""/>
                    <o:lock v:ext="edit" aspectratio="f"/>
                  </v:line>
                  <v:line id="直线 2312" o:spid="_x0000_s6348" o:spt="20" style="position:absolute;left:3898;top:9623;height:0;width:780;" filled="f" stroked="t" coordsize="21600,21600">
                    <v:path arrowok="t"/>
                    <v:fill on="f" focussize="0,0"/>
                    <v:stroke color="#000000" endarrow="block"/>
                    <v:imagedata o:title=""/>
                    <o:lock v:ext="edit" aspectratio="f"/>
                  </v:line>
                  <v:line id="直线 2312" o:spid="_x0000_s6349" o:spt="20" style="position:absolute;left:3916;top:10812;height:1;width:810;" filled="f" stroked="t" coordsize="21600,21600">
                    <v:path arrowok="t"/>
                    <v:fill on="f" focussize="0,0"/>
                    <v:stroke color="#000000" endarrow="block"/>
                    <v:imagedata o:title=""/>
                    <o:lock v:ext="edit" aspectratio="f"/>
                  </v:line>
                  <v:shape id="文本框 2309" o:spid="_x0000_s6350" o:spt="202" type="#_x0000_t202" style="position:absolute;left:4714;top:10607;height:421;width:1220;" filled="f" stroked="t" coordsize="21600,21600">
                    <v:path/>
                    <v:fill on="f" focussize="0,0"/>
                    <v:stroke color="#000000" joinstyle="miter"/>
                    <v:imagedata o:title=""/>
                    <o:lock v:ext="edit" aspectratio="f"/>
                    <v:textbox>
                      <w:txbxContent>
                        <w:p>
                          <w:pPr>
                            <w:adjustRightInd w:val="0"/>
                            <w:snapToGrid w:val="0"/>
                            <w:jc w:val="center"/>
                            <w:rPr>
                              <w:rFonts w:ascii="宋体" w:hAnsi="宋体"/>
                              <w:szCs w:val="21"/>
                            </w:rPr>
                          </w:pPr>
                          <w:r>
                            <w:rPr>
                              <w:rFonts w:hint="eastAsia" w:ascii="宋体" w:hAnsi="宋体"/>
                              <w:szCs w:val="21"/>
                            </w:rPr>
                            <w:t>生产用水</w:t>
                          </w:r>
                        </w:p>
                      </w:txbxContent>
                    </v:textbox>
                  </v:shape>
                  <v:shape id="文本框 2309" o:spid="_x0000_s6351" o:spt="202" type="#_x0000_t202" style="position:absolute;left:7171;top:11260;height:421;width:1220;" filled="f" stroked="t" coordsize="21600,21600">
                    <v:path/>
                    <v:fill on="f" focussize="0,0"/>
                    <v:stroke color="#000000" joinstyle="miter"/>
                    <v:imagedata o:title=""/>
                    <o:lock v:ext="edit" aspectratio="f"/>
                    <v:textbox>
                      <w:txbxContent>
                        <w:p>
                          <w:pPr>
                            <w:adjustRightInd w:val="0"/>
                            <w:snapToGrid w:val="0"/>
                            <w:jc w:val="center"/>
                            <w:rPr>
                              <w:rFonts w:ascii="宋体" w:hAnsi="宋体"/>
                              <w:szCs w:val="21"/>
                            </w:rPr>
                          </w:pPr>
                          <w:r>
                            <w:rPr>
                              <w:rFonts w:hint="eastAsia" w:ascii="宋体" w:hAnsi="宋体"/>
                              <w:szCs w:val="21"/>
                            </w:rPr>
                            <w:t>绿化用水</w:t>
                          </w:r>
                        </w:p>
                      </w:txbxContent>
                    </v:textbox>
                  </v:shape>
                  <v:line id="直线 65" o:spid="_x0000_s6352" o:spt="20" style="position:absolute;left:5920;top:9627;height:1;width:1849;" filled="f" stroked="t" coordsize="21600,21600">
                    <v:path arrowok="t"/>
                    <v:fill on="f" focussize="0,0"/>
                    <v:stroke color="#000000"/>
                    <v:imagedata o:title=""/>
                    <o:lock v:ext="edit" aspectratio="f"/>
                  </v:line>
                  <v:line id="直线 66" o:spid="_x0000_s6353" o:spt="20" style="position:absolute;left:7769;top:9627;height:659;width:1;" filled="f" stroked="t" coordsize="21600,21600">
                    <v:path arrowok="t"/>
                    <v:fill on="f" focussize="0,0"/>
                    <v:stroke weight="0.5pt" color="#000000" endarrow="block"/>
                    <v:imagedata o:title=""/>
                    <o:lock v:ext="edit" aspectratio="f"/>
                  </v:line>
                  <v:line id="直线 67" o:spid="_x0000_s6354" o:spt="20" style="position:absolute;left:7793;top:10744;height:516;width:1;" filled="f" stroked="t" coordsize="21600,21600">
                    <v:path arrowok="t"/>
                    <v:fill on="f" focussize="0,0"/>
                    <v:stroke color="#000000"/>
                    <v:imagedata o:title=""/>
                    <o:lock v:ext="edit" aspectratio="f"/>
                  </v:line>
                  <v:shape id="文本框 2302" o:spid="_x0000_s6355" o:spt="202" type="#_x0000_t202" style="position:absolute;left:3822;top:10340;height:421;width:738;" filled="f" stroked="f" coordsize="21600,21600">
                    <v:path/>
                    <v:fill on="f" focussize="0,0"/>
                    <v:stroke on="f"/>
                    <v:imagedata o:title=""/>
                    <o:lock v:ext="edit" aspectratio="f"/>
                    <v:textbox>
                      <w:txbxContent>
                        <w:p>
                          <w:pPr>
                            <w:adjustRightInd w:val="0"/>
                            <w:snapToGrid w:val="0"/>
                            <w:jc w:val="center"/>
                            <w:rPr>
                              <w:rFonts w:hint="default" w:eastAsia="宋体"/>
                              <w:lang w:val="en-US" w:eastAsia="zh-CN"/>
                            </w:rPr>
                          </w:pPr>
                          <w:r>
                            <w:rPr>
                              <w:rFonts w:hint="eastAsia"/>
                              <w:lang w:val="en-US" w:eastAsia="zh-CN"/>
                            </w:rPr>
                            <w:t>40</w:t>
                          </w:r>
                        </w:p>
                      </w:txbxContent>
                    </v:textbox>
                  </v:shape>
                  <v:shape id="文本框 2302" o:spid="_x0000_s6356" o:spt="202" type="#_x0000_t202" style="position:absolute;left:7171;top:10839;height:421;width:660;" filled="f" stroked="f" coordsize="21600,21600">
                    <v:path/>
                    <v:fill on="f" focussize="0,0"/>
                    <v:stroke on="f"/>
                    <v:imagedata o:title=""/>
                    <o:lock v:ext="edit" aspectratio="f"/>
                    <v:textbox>
                      <w:txbxContent>
                        <w:p>
                          <w:pPr>
                            <w:adjustRightInd w:val="0"/>
                            <w:snapToGrid w:val="0"/>
                            <w:jc w:val="center"/>
                          </w:pPr>
                          <w:r>
                            <w:rPr>
                              <w:rFonts w:hint="eastAsia"/>
                            </w:rPr>
                            <w:t>56</w:t>
                          </w:r>
                        </w:p>
                      </w:txbxContent>
                    </v:textbox>
                  </v:shape>
                  <v:shape id="自选图形 2307" o:spid="_x0000_s6357" o:spt="38" type="#_x0000_t38" style="position:absolute;left:8391;top:11139;flip:y;height:220;width:380;" filled="f" stroked="t" coordsize="21600,21600" adj="10855">
                    <v:path arrowok="t"/>
                    <v:fill on="f" focussize="0,0"/>
                    <v:stroke color="#000000" endarrow="block"/>
                    <v:imagedata o:title=""/>
                    <o:lock v:ext="edit" aspectratio="f"/>
                  </v:shape>
                  <v:shape id="文本框 2331" o:spid="_x0000_s6358" o:spt="202" type="#_x0000_t202" style="position:absolute;left:8497;top:10860;height:400;width:1221;" filled="f" stroked="f" coordsize="21600,21600">
                    <v:path/>
                    <v:fill on="f" focussize="0,0"/>
                    <v:stroke on="f"/>
                    <v:imagedata o:title=""/>
                    <o:lock v:ext="edit" aspectratio="f"/>
                    <v:textbox>
                      <w:txbxContent>
                        <w:p>
                          <w:pPr>
                            <w:adjustRightInd w:val="0"/>
                            <w:snapToGrid w:val="0"/>
                            <w:jc w:val="center"/>
                            <w:rPr>
                              <w:rFonts w:ascii="宋体" w:hAnsi="宋体"/>
                              <w:szCs w:val="21"/>
                            </w:rPr>
                          </w:pPr>
                          <w:r>
                            <w:rPr>
                              <w:rFonts w:hint="eastAsia" w:ascii="宋体" w:hAnsi="宋体"/>
                              <w:szCs w:val="21"/>
                            </w:rPr>
                            <w:t>损耗</w:t>
                          </w:r>
                          <w:r>
                            <w:rPr>
                              <w:rFonts w:hint="eastAsia"/>
                              <w:szCs w:val="21"/>
                            </w:rPr>
                            <w:t>56</w:t>
                          </w:r>
                        </w:p>
                      </w:txbxContent>
                    </v:textbox>
                  </v:shape>
                  <w10:wrap type="none"/>
                  <w10:anchorlock/>
                </v:group>
              </w:pict>
            </w:r>
          </w:p>
          <w:p>
            <w:pPr>
              <w:tabs>
                <w:tab w:val="left" w:pos="3555"/>
                <w:tab w:val="left" w:pos="7728"/>
              </w:tabs>
              <w:spacing w:line="360" w:lineRule="auto"/>
              <w:ind w:left="-2" w:leftChars="-10" w:right="102" w:hanging="19" w:hangingChars="8"/>
              <w:jc w:val="center"/>
              <w:rPr>
                <w:sz w:val="24"/>
                <w:szCs w:val="24"/>
              </w:rPr>
            </w:pPr>
            <w:r>
              <w:rPr>
                <w:rFonts w:hint="eastAsia"/>
                <w:b/>
                <w:sz w:val="24"/>
                <w:szCs w:val="24"/>
              </w:rPr>
              <w:t>图</w:t>
            </w:r>
            <w:r>
              <w:rPr>
                <w:b/>
                <w:sz w:val="24"/>
                <w:szCs w:val="24"/>
              </w:rPr>
              <w:t xml:space="preserve">5-2  </w:t>
            </w:r>
            <w:r>
              <w:rPr>
                <w:rFonts w:hint="eastAsia"/>
                <w:b/>
                <w:sz w:val="24"/>
                <w:szCs w:val="24"/>
              </w:rPr>
              <w:t>本项目用水量平衡图（</w:t>
            </w:r>
            <w:r>
              <w:rPr>
                <w:b/>
                <w:sz w:val="24"/>
                <w:szCs w:val="24"/>
              </w:rPr>
              <w:t>t/a</w:t>
            </w:r>
            <w:r>
              <w:rPr>
                <w:rFonts w:hint="eastAsia"/>
                <w:b/>
                <w:sz w:val="24"/>
                <w:szCs w:val="24"/>
              </w:rPr>
              <w:t>）</w:t>
            </w:r>
          </w:p>
          <w:p>
            <w:pPr>
              <w:adjustRightInd w:val="0"/>
              <w:snapToGrid w:val="0"/>
              <w:spacing w:line="360" w:lineRule="auto"/>
              <w:ind w:firstLine="480" w:firstLineChars="200"/>
              <w:rPr>
                <w:sz w:val="24"/>
                <w:szCs w:val="24"/>
              </w:rPr>
            </w:pPr>
            <w:r>
              <w:rPr>
                <w:sz w:val="24"/>
                <w:szCs w:val="24"/>
              </w:rPr>
              <w:t>3</w:t>
            </w:r>
            <w:r>
              <w:rPr>
                <w:rFonts w:hint="eastAsia"/>
                <w:sz w:val="24"/>
                <w:szCs w:val="24"/>
              </w:rPr>
              <w:t>、固体废物</w:t>
            </w:r>
          </w:p>
          <w:p>
            <w:pPr>
              <w:adjustRightInd w:val="0"/>
              <w:snapToGrid w:val="0"/>
              <w:spacing w:line="360" w:lineRule="auto"/>
              <w:ind w:firstLine="480" w:firstLineChars="200"/>
              <w:rPr>
                <w:sz w:val="24"/>
                <w:szCs w:val="24"/>
              </w:rPr>
            </w:pPr>
            <w:r>
              <w:rPr>
                <w:rFonts w:hint="eastAsia"/>
                <w:sz w:val="24"/>
                <w:szCs w:val="24"/>
              </w:rPr>
              <w:t>（</w:t>
            </w:r>
            <w:r>
              <w:rPr>
                <w:sz w:val="24"/>
                <w:szCs w:val="24"/>
              </w:rPr>
              <w:t>1</w:t>
            </w:r>
            <w:r>
              <w:rPr>
                <w:rFonts w:hint="eastAsia"/>
                <w:sz w:val="24"/>
                <w:szCs w:val="24"/>
              </w:rPr>
              <w:t>）固废产生源强核算</w:t>
            </w:r>
          </w:p>
          <w:p>
            <w:pPr>
              <w:adjustRightInd w:val="0"/>
              <w:snapToGrid w:val="0"/>
              <w:spacing w:line="360" w:lineRule="auto"/>
              <w:ind w:firstLine="480" w:firstLineChars="200"/>
              <w:rPr>
                <w:rFonts w:ascii="Calibri" w:hAnsi="宋体"/>
                <w:sz w:val="24"/>
                <w:szCs w:val="24"/>
              </w:rPr>
            </w:pPr>
            <w:r>
              <w:rPr>
                <w:rFonts w:hint="eastAsia"/>
                <w:sz w:val="24"/>
                <w:szCs w:val="24"/>
              </w:rPr>
              <w:t>本项目产生的</w:t>
            </w:r>
            <w:r>
              <w:rPr>
                <w:rFonts w:hint="eastAsia" w:hAnsi="宋体"/>
                <w:sz w:val="24"/>
                <w:szCs w:val="24"/>
              </w:rPr>
              <w:t>固废主要为废包装袋和生活垃圾以及木屑粉尘。</w:t>
            </w:r>
          </w:p>
          <w:p>
            <w:pPr>
              <w:adjustRightInd w:val="0"/>
              <w:snapToGrid w:val="0"/>
              <w:spacing w:line="360" w:lineRule="auto"/>
              <w:ind w:firstLine="480" w:firstLineChars="200"/>
              <w:rPr>
                <w:rFonts w:hAnsi="Calibri"/>
                <w:sz w:val="24"/>
                <w:szCs w:val="24"/>
              </w:rPr>
            </w:pPr>
            <w:r>
              <w:rPr>
                <w:rFonts w:hint="eastAsia" w:ascii="宋体" w:hAnsi="宋体"/>
                <w:sz w:val="24"/>
                <w:szCs w:val="24"/>
              </w:rPr>
              <w:t>①</w:t>
            </w:r>
            <w:r>
              <w:rPr>
                <w:rFonts w:hint="eastAsia" w:hAnsi="宋体"/>
                <w:sz w:val="24"/>
                <w:szCs w:val="24"/>
              </w:rPr>
              <w:t>废包装袋</w:t>
            </w:r>
            <w:r>
              <w:rPr>
                <w:rFonts w:hint="eastAsia"/>
                <w:sz w:val="24"/>
                <w:szCs w:val="24"/>
              </w:rPr>
              <w:t>：本项目废包装主要为原料包装袋，木粉包装袋产量为0.5</w:t>
            </w:r>
            <w:r>
              <w:rPr>
                <w:sz w:val="24"/>
                <w:szCs w:val="24"/>
              </w:rPr>
              <w:t>t/a</w:t>
            </w:r>
            <w:r>
              <w:rPr>
                <w:rFonts w:hint="eastAsia"/>
                <w:sz w:val="24"/>
                <w:szCs w:val="24"/>
              </w:rPr>
              <w:t>，双氧水是整车采购储存在不锈钢储存罐内，没有废包装产生</w:t>
            </w:r>
            <w:r>
              <w:rPr>
                <w:rFonts w:hint="eastAsia"/>
                <w:sz w:val="24"/>
                <w:szCs w:val="21"/>
              </w:rPr>
              <w:t>。废包装属于一般固废，收集后外售。</w:t>
            </w:r>
          </w:p>
          <w:p>
            <w:pPr>
              <w:adjustRightInd w:val="0"/>
              <w:snapToGrid w:val="0"/>
              <w:spacing w:line="360" w:lineRule="auto"/>
              <w:ind w:firstLine="480" w:firstLineChars="200"/>
              <w:rPr>
                <w:sz w:val="24"/>
                <w:szCs w:val="24"/>
              </w:rPr>
            </w:pPr>
            <w:r>
              <w:rPr>
                <w:rFonts w:hint="eastAsia" w:ascii="宋体" w:hAnsi="宋体"/>
                <w:sz w:val="24"/>
                <w:szCs w:val="24"/>
              </w:rPr>
              <w:t>②</w:t>
            </w:r>
            <w:r>
              <w:rPr>
                <w:rFonts w:hint="eastAsia"/>
                <w:sz w:val="24"/>
                <w:szCs w:val="24"/>
              </w:rPr>
              <w:t>生活垃圾：项目劳动定员5人，年工作280天，生活垃圾按</w:t>
            </w:r>
            <w:r>
              <w:rPr>
                <w:sz w:val="24"/>
                <w:szCs w:val="24"/>
              </w:rPr>
              <w:t>0.5kg/</w:t>
            </w:r>
            <w:r>
              <w:rPr>
                <w:rFonts w:hint="eastAsia"/>
                <w:sz w:val="24"/>
                <w:szCs w:val="24"/>
              </w:rPr>
              <w:t>人</w:t>
            </w:r>
            <w:r>
              <w:rPr>
                <w:sz w:val="24"/>
                <w:szCs w:val="24"/>
              </w:rPr>
              <w:t>·d</w:t>
            </w:r>
            <w:r>
              <w:rPr>
                <w:rFonts w:hint="eastAsia"/>
                <w:sz w:val="24"/>
                <w:szCs w:val="24"/>
              </w:rPr>
              <w:t>算，产生量0.7</w:t>
            </w:r>
            <w:r>
              <w:rPr>
                <w:sz w:val="24"/>
                <w:szCs w:val="24"/>
              </w:rPr>
              <w:t>t/a</w:t>
            </w:r>
            <w:r>
              <w:rPr>
                <w:rFonts w:hint="eastAsia"/>
                <w:sz w:val="24"/>
                <w:szCs w:val="24"/>
              </w:rPr>
              <w:t>，由环卫部门清运。</w:t>
            </w:r>
          </w:p>
          <w:p>
            <w:pPr>
              <w:pStyle w:val="136"/>
              <w:ind w:firstLine="480"/>
            </w:pPr>
            <w:r>
              <w:rPr>
                <w:rFonts w:hint="eastAsia" w:ascii="宋体" w:hAnsi="宋体"/>
              </w:rPr>
              <w:t>③</w:t>
            </w:r>
            <w:r>
              <w:rPr>
                <w:rFonts w:hint="eastAsia"/>
              </w:rPr>
              <w:t>收集的粉尘：本项目</w:t>
            </w:r>
            <w:r>
              <w:rPr>
                <w:rFonts w:hint="eastAsia"/>
                <w:lang w:eastAsia="zh-CN"/>
              </w:rPr>
              <w:t>干漂、</w:t>
            </w:r>
            <w:r>
              <w:rPr>
                <w:rFonts w:hint="eastAsia"/>
              </w:rPr>
              <w:t>筛分过程中会产生粉尘，筛分粉尘有组织产生量为2.7t/a，拟采取脉冲布袋除尘器处理，处理效率为99%，则收集的粉尘量为2.673t/a，由企业收集后外售处理。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）固体废物属性判定</w:t>
            </w:r>
          </w:p>
          <w:p>
            <w:pPr>
              <w:adjustRightInd w:val="0"/>
              <w:snapToGrid w:val="0"/>
              <w:spacing w:line="360" w:lineRule="auto"/>
              <w:ind w:firstLine="480" w:firstLineChars="200"/>
              <w:rPr>
                <w:sz w:val="24"/>
                <w:szCs w:val="24"/>
              </w:rPr>
            </w:pPr>
            <w:r>
              <w:rPr>
                <w:rFonts w:hint="eastAsia"/>
                <w:sz w:val="24"/>
                <w:szCs w:val="24"/>
              </w:rPr>
              <w:t>根据《中华人民共和国固体废物污染环境防治法》《固体废物鉴别标准通则》（</w:t>
            </w:r>
            <w:r>
              <w:rPr>
                <w:sz w:val="24"/>
                <w:szCs w:val="24"/>
              </w:rPr>
              <w:t>GB34330-2017</w:t>
            </w:r>
            <w:r>
              <w:rPr>
                <w:rFonts w:hint="eastAsia"/>
                <w:sz w:val="24"/>
                <w:szCs w:val="24"/>
              </w:rPr>
              <w:t>），对建设项目产生的物质（除目标产物，即：产品、副产品外），依据产生来源、利用和处置过程鉴别属于固体废物并且作为固体废物管理的物质，应按照《国家危险废物名录》</w:t>
            </w:r>
            <w:r>
              <w:rPr>
                <w:rFonts w:hint="eastAsia"/>
                <w:sz w:val="24"/>
                <w:szCs w:val="24"/>
                <w:lang w:eastAsia="zh-CN"/>
              </w:rPr>
              <w:t>、</w:t>
            </w:r>
            <w:r>
              <w:rPr>
                <w:rFonts w:hint="eastAsia"/>
                <w:sz w:val="24"/>
                <w:szCs w:val="24"/>
              </w:rPr>
              <w:t>《危险废物鉴别标准通则》等进行属性判定。本项目固废判定及产排放情况见表</w:t>
            </w:r>
            <w:r>
              <w:rPr>
                <w:sz w:val="24"/>
                <w:szCs w:val="24"/>
              </w:rPr>
              <w:t>5-5</w:t>
            </w:r>
            <w:r>
              <w:rPr>
                <w:rFonts w:hint="eastAsia"/>
                <w:sz w:val="24"/>
                <w:szCs w:val="24"/>
                <w:lang w:eastAsia="zh-CN"/>
              </w:rPr>
              <w:t>和</w:t>
            </w:r>
            <w:r>
              <w:rPr>
                <w:sz w:val="24"/>
                <w:szCs w:val="24"/>
              </w:rPr>
              <w:t>5-6</w:t>
            </w:r>
            <w:r>
              <w:rPr>
                <w:rFonts w:hint="eastAsia"/>
                <w:sz w:val="24"/>
                <w:szCs w:val="24"/>
              </w:rPr>
              <w:t>。</w:t>
            </w:r>
          </w:p>
          <w:p>
            <w:pPr>
              <w:adjustRightInd w:val="0"/>
              <w:snapToGrid w:val="0"/>
              <w:jc w:val="center"/>
              <w:rPr>
                <w:sz w:val="24"/>
                <w:szCs w:val="24"/>
              </w:rPr>
            </w:pPr>
            <w:r>
              <w:rPr>
                <w:rFonts w:hint="eastAsia"/>
                <w:b/>
                <w:kern w:val="0"/>
                <w:sz w:val="24"/>
              </w:rPr>
              <w:t>表</w:t>
            </w:r>
            <w:r>
              <w:rPr>
                <w:b/>
                <w:kern w:val="0"/>
                <w:sz w:val="24"/>
              </w:rPr>
              <w:t xml:space="preserve">5-5  </w:t>
            </w:r>
            <w:r>
              <w:rPr>
                <w:rFonts w:hint="eastAsia"/>
                <w:b/>
                <w:kern w:val="0"/>
                <w:sz w:val="24"/>
              </w:rPr>
              <w:t>固废属性判定</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391"/>
              <w:gridCol w:w="1194"/>
              <w:gridCol w:w="735"/>
              <w:gridCol w:w="760"/>
              <w:gridCol w:w="804"/>
              <w:gridCol w:w="982"/>
              <w:gridCol w:w="649"/>
              <w:gridCol w:w="11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547" w:type="dxa"/>
                  <w:vMerge w:val="restart"/>
                  <w:tcBorders>
                    <w:top w:val="single" w:color="auto" w:sz="12" w:space="0"/>
                    <w:left w:val="nil"/>
                    <w:bottom w:val="single" w:color="auto" w:sz="4" w:space="0"/>
                    <w:right w:val="single" w:color="auto" w:sz="4" w:space="0"/>
                  </w:tcBorders>
                  <w:vAlign w:val="center"/>
                </w:tcPr>
                <w:p>
                  <w:pPr>
                    <w:adjustRightInd w:val="0"/>
                    <w:snapToGrid w:val="0"/>
                    <w:jc w:val="center"/>
                    <w:rPr>
                      <w:b/>
                      <w:szCs w:val="21"/>
                    </w:rPr>
                  </w:pPr>
                  <w:r>
                    <w:rPr>
                      <w:rFonts w:hint="eastAsia"/>
                      <w:b/>
                      <w:szCs w:val="21"/>
                    </w:rPr>
                    <w:t>序号</w:t>
                  </w:r>
                </w:p>
              </w:tc>
              <w:tc>
                <w:tcPr>
                  <w:tcW w:w="1391" w:type="dxa"/>
                  <w:vMerge w:val="restart"/>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int="eastAsia"/>
                      <w:b/>
                      <w:szCs w:val="21"/>
                    </w:rPr>
                    <w:t>固废名称</w:t>
                  </w:r>
                </w:p>
              </w:tc>
              <w:tc>
                <w:tcPr>
                  <w:tcW w:w="1194" w:type="dxa"/>
                  <w:vMerge w:val="restart"/>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int="eastAsia"/>
                      <w:b/>
                      <w:szCs w:val="21"/>
                    </w:rPr>
                    <w:t>产生工序</w:t>
                  </w:r>
                </w:p>
              </w:tc>
              <w:tc>
                <w:tcPr>
                  <w:tcW w:w="735" w:type="dxa"/>
                  <w:vMerge w:val="restart"/>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int="eastAsia"/>
                      <w:b/>
                      <w:szCs w:val="21"/>
                    </w:rPr>
                    <w:t>形态</w:t>
                  </w:r>
                </w:p>
              </w:tc>
              <w:tc>
                <w:tcPr>
                  <w:tcW w:w="760" w:type="dxa"/>
                  <w:vMerge w:val="restart"/>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int="eastAsia"/>
                      <w:b/>
                      <w:szCs w:val="21"/>
                    </w:rPr>
                    <w:t>主要成分</w:t>
                  </w:r>
                </w:p>
              </w:tc>
              <w:tc>
                <w:tcPr>
                  <w:tcW w:w="804" w:type="dxa"/>
                  <w:vMerge w:val="restart"/>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int="eastAsia"/>
                      <w:b/>
                      <w:szCs w:val="21"/>
                    </w:rPr>
                    <w:t>产生量（</w:t>
                  </w:r>
                  <w:r>
                    <w:rPr>
                      <w:b/>
                      <w:szCs w:val="21"/>
                    </w:rPr>
                    <w:t>t/a</w:t>
                  </w:r>
                  <w:r>
                    <w:rPr>
                      <w:rFonts w:hint="eastAsia"/>
                      <w:b/>
                      <w:szCs w:val="21"/>
                    </w:rPr>
                    <w:t>）</w:t>
                  </w:r>
                </w:p>
              </w:tc>
              <w:tc>
                <w:tcPr>
                  <w:tcW w:w="2746" w:type="dxa"/>
                  <w:gridSpan w:val="3"/>
                  <w:tcBorders>
                    <w:top w:val="single" w:color="auto" w:sz="12" w:space="0"/>
                    <w:left w:val="single" w:color="auto" w:sz="4" w:space="0"/>
                    <w:bottom w:val="single" w:color="auto" w:sz="4" w:space="0"/>
                    <w:right w:val="nil"/>
                  </w:tcBorders>
                  <w:vAlign w:val="center"/>
                </w:tcPr>
                <w:p>
                  <w:pPr>
                    <w:adjustRightInd w:val="0"/>
                    <w:snapToGrid w:val="0"/>
                    <w:jc w:val="center"/>
                    <w:rPr>
                      <w:b/>
                      <w:szCs w:val="21"/>
                    </w:rPr>
                  </w:pPr>
                  <w:r>
                    <w:rPr>
                      <w:rFonts w:hint="eastAsia"/>
                      <w:b/>
                      <w:szCs w:val="21"/>
                    </w:rPr>
                    <w:t>种类判别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47" w:type="dxa"/>
                  <w:vMerge w:val="continue"/>
                  <w:tcBorders>
                    <w:top w:val="single" w:color="auto" w:sz="12" w:space="0"/>
                    <w:left w:val="nil"/>
                    <w:bottom w:val="single" w:color="auto" w:sz="4" w:space="0"/>
                    <w:right w:val="single" w:color="auto" w:sz="4" w:space="0"/>
                  </w:tcBorders>
                  <w:vAlign w:val="center"/>
                </w:tcPr>
                <w:p>
                  <w:pPr>
                    <w:widowControl/>
                    <w:adjustRightInd w:val="0"/>
                    <w:snapToGrid w:val="0"/>
                    <w:jc w:val="center"/>
                    <w:rPr>
                      <w:b/>
                      <w:szCs w:val="21"/>
                    </w:rPr>
                  </w:pPr>
                </w:p>
              </w:tc>
              <w:tc>
                <w:tcPr>
                  <w:tcW w:w="1391" w:type="dxa"/>
                  <w:vMerge w:val="continue"/>
                  <w:tcBorders>
                    <w:top w:val="single" w:color="auto" w:sz="12" w:space="0"/>
                    <w:left w:val="single" w:color="auto" w:sz="4" w:space="0"/>
                    <w:bottom w:val="single" w:color="auto" w:sz="4" w:space="0"/>
                    <w:right w:val="single" w:color="auto" w:sz="4" w:space="0"/>
                  </w:tcBorders>
                  <w:vAlign w:val="center"/>
                </w:tcPr>
                <w:p>
                  <w:pPr>
                    <w:widowControl/>
                    <w:adjustRightInd w:val="0"/>
                    <w:snapToGrid w:val="0"/>
                    <w:jc w:val="center"/>
                    <w:rPr>
                      <w:b/>
                      <w:szCs w:val="21"/>
                    </w:rPr>
                  </w:pPr>
                </w:p>
              </w:tc>
              <w:tc>
                <w:tcPr>
                  <w:tcW w:w="1194" w:type="dxa"/>
                  <w:vMerge w:val="continue"/>
                  <w:tcBorders>
                    <w:top w:val="single" w:color="auto" w:sz="12" w:space="0"/>
                    <w:left w:val="single" w:color="auto" w:sz="4" w:space="0"/>
                    <w:bottom w:val="single" w:color="auto" w:sz="4" w:space="0"/>
                    <w:right w:val="single" w:color="auto" w:sz="4" w:space="0"/>
                  </w:tcBorders>
                  <w:vAlign w:val="center"/>
                </w:tcPr>
                <w:p>
                  <w:pPr>
                    <w:widowControl/>
                    <w:adjustRightInd w:val="0"/>
                    <w:snapToGrid w:val="0"/>
                    <w:jc w:val="center"/>
                    <w:rPr>
                      <w:b/>
                      <w:szCs w:val="21"/>
                    </w:rPr>
                  </w:pPr>
                </w:p>
              </w:tc>
              <w:tc>
                <w:tcPr>
                  <w:tcW w:w="735" w:type="dxa"/>
                  <w:vMerge w:val="continue"/>
                  <w:tcBorders>
                    <w:top w:val="single" w:color="auto" w:sz="12" w:space="0"/>
                    <w:left w:val="single" w:color="auto" w:sz="4" w:space="0"/>
                    <w:bottom w:val="single" w:color="auto" w:sz="4" w:space="0"/>
                    <w:right w:val="single" w:color="auto" w:sz="4" w:space="0"/>
                  </w:tcBorders>
                  <w:vAlign w:val="center"/>
                </w:tcPr>
                <w:p>
                  <w:pPr>
                    <w:widowControl/>
                    <w:adjustRightInd w:val="0"/>
                    <w:snapToGrid w:val="0"/>
                    <w:jc w:val="center"/>
                    <w:rPr>
                      <w:b/>
                      <w:szCs w:val="21"/>
                    </w:rPr>
                  </w:pPr>
                </w:p>
              </w:tc>
              <w:tc>
                <w:tcPr>
                  <w:tcW w:w="760" w:type="dxa"/>
                  <w:vMerge w:val="continue"/>
                  <w:tcBorders>
                    <w:top w:val="single" w:color="auto" w:sz="12" w:space="0"/>
                    <w:left w:val="single" w:color="auto" w:sz="4" w:space="0"/>
                    <w:bottom w:val="single" w:color="auto" w:sz="4" w:space="0"/>
                    <w:right w:val="single" w:color="auto" w:sz="4" w:space="0"/>
                  </w:tcBorders>
                  <w:vAlign w:val="center"/>
                </w:tcPr>
                <w:p>
                  <w:pPr>
                    <w:widowControl/>
                    <w:adjustRightInd w:val="0"/>
                    <w:snapToGrid w:val="0"/>
                    <w:jc w:val="center"/>
                    <w:rPr>
                      <w:b/>
                      <w:szCs w:val="21"/>
                    </w:rPr>
                  </w:pPr>
                </w:p>
              </w:tc>
              <w:tc>
                <w:tcPr>
                  <w:tcW w:w="804" w:type="dxa"/>
                  <w:vMerge w:val="continue"/>
                  <w:tcBorders>
                    <w:top w:val="single" w:color="auto" w:sz="12" w:space="0"/>
                    <w:left w:val="single" w:color="auto" w:sz="4" w:space="0"/>
                    <w:bottom w:val="single" w:color="auto" w:sz="4" w:space="0"/>
                    <w:right w:val="single" w:color="auto" w:sz="4" w:space="0"/>
                  </w:tcBorders>
                  <w:vAlign w:val="center"/>
                </w:tcPr>
                <w:p>
                  <w:pPr>
                    <w:widowControl/>
                    <w:adjustRightInd w:val="0"/>
                    <w:snapToGrid w:val="0"/>
                    <w:jc w:val="center"/>
                    <w:rPr>
                      <w:b/>
                      <w:szCs w:val="21"/>
                    </w:rPr>
                  </w:pPr>
                </w:p>
              </w:tc>
              <w:tc>
                <w:tcPr>
                  <w:tcW w:w="9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int="eastAsia"/>
                      <w:b/>
                      <w:szCs w:val="21"/>
                    </w:rPr>
                    <w:t>固体废物</w:t>
                  </w:r>
                </w:p>
              </w:tc>
              <w:tc>
                <w:tcPr>
                  <w:tcW w:w="6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int="eastAsia"/>
                      <w:b/>
                      <w:szCs w:val="21"/>
                    </w:rPr>
                    <w:t>副产物</w:t>
                  </w:r>
                </w:p>
              </w:tc>
              <w:tc>
                <w:tcPr>
                  <w:tcW w:w="1115" w:type="dxa"/>
                  <w:tcBorders>
                    <w:top w:val="single" w:color="auto" w:sz="4" w:space="0"/>
                    <w:left w:val="single" w:color="auto" w:sz="4" w:space="0"/>
                    <w:bottom w:val="single" w:color="auto" w:sz="4" w:space="0"/>
                    <w:right w:val="nil"/>
                  </w:tcBorders>
                  <w:vAlign w:val="center"/>
                </w:tcPr>
                <w:p>
                  <w:pPr>
                    <w:adjustRightInd w:val="0"/>
                    <w:snapToGrid w:val="0"/>
                    <w:jc w:val="center"/>
                    <w:rPr>
                      <w:b/>
                      <w:szCs w:val="21"/>
                    </w:rPr>
                  </w:pPr>
                  <w:r>
                    <w:rPr>
                      <w:rFonts w:hint="eastAsia"/>
                      <w:b/>
                      <w:szCs w:val="21"/>
                    </w:rPr>
                    <w:t>判定依据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547" w:type="dxa"/>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szCs w:val="21"/>
                    </w:rPr>
                    <w:t>1</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木粉废包装</w:t>
                  </w:r>
                </w:p>
              </w:tc>
              <w:tc>
                <w:tcPr>
                  <w:tcW w:w="11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原料拆包</w:t>
                  </w:r>
                </w:p>
              </w:tc>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固</w:t>
                  </w:r>
                </w:p>
              </w:tc>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塑料</w:t>
                  </w:r>
                </w:p>
              </w:tc>
              <w:tc>
                <w:tcPr>
                  <w:tcW w:w="8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0.5</w:t>
                  </w:r>
                </w:p>
              </w:tc>
              <w:tc>
                <w:tcPr>
                  <w:tcW w:w="9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bCs/>
                      <w:szCs w:val="21"/>
                    </w:rPr>
                    <w:t>√</w:t>
                  </w:r>
                </w:p>
              </w:tc>
              <w:tc>
                <w:tcPr>
                  <w:tcW w:w="6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p>
              </w:tc>
              <w:tc>
                <w:tcPr>
                  <w:tcW w:w="1115" w:type="dxa"/>
                  <w:vMerge w:val="restart"/>
                  <w:tcBorders>
                    <w:top w:val="single" w:color="auto" w:sz="4" w:space="0"/>
                    <w:left w:val="single" w:color="auto" w:sz="4" w:space="0"/>
                    <w:bottom w:val="single" w:color="auto" w:sz="12" w:space="0"/>
                    <w:right w:val="nil"/>
                  </w:tcBorders>
                  <w:vAlign w:val="center"/>
                </w:tcPr>
                <w:p>
                  <w:pPr>
                    <w:adjustRightInd w:val="0"/>
                    <w:snapToGrid w:val="0"/>
                    <w:jc w:val="center"/>
                    <w:rPr>
                      <w:szCs w:val="21"/>
                    </w:rPr>
                  </w:pPr>
                  <w:r>
                    <w:rPr>
                      <w:rFonts w:hint="eastAsia"/>
                      <w:szCs w:val="21"/>
                    </w:rPr>
                    <w:t>《固体废物鉴别标准通则》（</w:t>
                  </w:r>
                  <w:r>
                    <w:rPr>
                      <w:szCs w:val="21"/>
                    </w:rPr>
                    <w:t>GB34330-2017</w:t>
                  </w: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47" w:type="dxa"/>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szCs w:val="21"/>
                    </w:rPr>
                    <w:t>2</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收集的粉尘</w:t>
                  </w:r>
                </w:p>
              </w:tc>
              <w:tc>
                <w:tcPr>
                  <w:tcW w:w="11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废气处理</w:t>
                  </w:r>
                </w:p>
              </w:tc>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固</w:t>
                  </w:r>
                </w:p>
              </w:tc>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木材</w:t>
                  </w:r>
                </w:p>
              </w:tc>
              <w:tc>
                <w:tcPr>
                  <w:tcW w:w="8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2</w:t>
                  </w:r>
                  <w:r>
                    <w:rPr>
                      <w:szCs w:val="21"/>
                    </w:rPr>
                    <w:t>.</w:t>
                  </w:r>
                  <w:r>
                    <w:rPr>
                      <w:rFonts w:hint="eastAsia"/>
                      <w:szCs w:val="21"/>
                    </w:rPr>
                    <w:t>673</w:t>
                  </w:r>
                </w:p>
              </w:tc>
              <w:tc>
                <w:tcPr>
                  <w:tcW w:w="9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bCs/>
                      <w:szCs w:val="21"/>
                    </w:rPr>
                    <w:t>√</w:t>
                  </w:r>
                </w:p>
              </w:tc>
              <w:tc>
                <w:tcPr>
                  <w:tcW w:w="6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p>
              </w:tc>
              <w:tc>
                <w:tcPr>
                  <w:tcW w:w="1115" w:type="dxa"/>
                  <w:vMerge w:val="continue"/>
                  <w:tcBorders>
                    <w:top w:val="single" w:color="auto" w:sz="4" w:space="0"/>
                    <w:left w:val="single" w:color="auto" w:sz="4" w:space="0"/>
                    <w:bottom w:val="single" w:color="auto" w:sz="12" w:space="0"/>
                    <w:right w:val="nil"/>
                  </w:tcBorders>
                  <w:vAlign w:val="center"/>
                </w:tcPr>
                <w:p>
                  <w:pPr>
                    <w:widowControl/>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7" w:type="dxa"/>
                  <w:tcBorders>
                    <w:top w:val="single" w:color="auto" w:sz="4" w:space="0"/>
                    <w:left w:val="nil"/>
                    <w:bottom w:val="single" w:color="auto" w:sz="12" w:space="0"/>
                    <w:right w:val="single" w:color="auto" w:sz="4" w:space="0"/>
                  </w:tcBorders>
                  <w:vAlign w:val="center"/>
                </w:tcPr>
                <w:p>
                  <w:pPr>
                    <w:adjustRightInd w:val="0"/>
                    <w:snapToGrid w:val="0"/>
                    <w:jc w:val="center"/>
                    <w:rPr>
                      <w:szCs w:val="21"/>
                    </w:rPr>
                  </w:pPr>
                  <w:r>
                    <w:rPr>
                      <w:szCs w:val="21"/>
                    </w:rPr>
                    <w:t>3</w:t>
                  </w:r>
                </w:p>
              </w:tc>
              <w:tc>
                <w:tcPr>
                  <w:tcW w:w="1391"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rFonts w:hint="eastAsia"/>
                      <w:szCs w:val="21"/>
                    </w:rPr>
                    <w:t>生活垃圾</w:t>
                  </w:r>
                </w:p>
              </w:tc>
              <w:tc>
                <w:tcPr>
                  <w:tcW w:w="119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rFonts w:hint="eastAsia"/>
                      <w:szCs w:val="21"/>
                    </w:rPr>
                    <w:t>员工生活</w:t>
                  </w:r>
                </w:p>
              </w:tc>
              <w:tc>
                <w:tcPr>
                  <w:tcW w:w="735"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rFonts w:hint="eastAsia"/>
                      <w:szCs w:val="21"/>
                    </w:rPr>
                    <w:t>固</w:t>
                  </w:r>
                </w:p>
              </w:tc>
              <w:tc>
                <w:tcPr>
                  <w:tcW w:w="760"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rFonts w:hint="eastAsia"/>
                      <w:szCs w:val="21"/>
                    </w:rPr>
                    <w:t>纸、塑料</w:t>
                  </w:r>
                </w:p>
              </w:tc>
              <w:tc>
                <w:tcPr>
                  <w:tcW w:w="80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rFonts w:hint="eastAsia"/>
                      <w:szCs w:val="21"/>
                    </w:rPr>
                    <w:t>0.7</w:t>
                  </w:r>
                </w:p>
              </w:tc>
              <w:tc>
                <w:tcPr>
                  <w:tcW w:w="982"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bCs/>
                      <w:szCs w:val="21"/>
                    </w:rPr>
                    <w:t>√</w:t>
                  </w:r>
                </w:p>
              </w:tc>
              <w:tc>
                <w:tcPr>
                  <w:tcW w:w="649"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p>
              </w:tc>
              <w:tc>
                <w:tcPr>
                  <w:tcW w:w="1115" w:type="dxa"/>
                  <w:vMerge w:val="continue"/>
                  <w:tcBorders>
                    <w:top w:val="single" w:color="auto" w:sz="4" w:space="0"/>
                    <w:left w:val="single" w:color="auto" w:sz="4" w:space="0"/>
                    <w:bottom w:val="single" w:color="auto" w:sz="12" w:space="0"/>
                    <w:right w:val="nil"/>
                  </w:tcBorders>
                  <w:vAlign w:val="center"/>
                </w:tcPr>
                <w:p>
                  <w:pPr>
                    <w:widowControl/>
                    <w:adjustRightInd w:val="0"/>
                    <w:snapToGrid w:val="0"/>
                    <w:jc w:val="center"/>
                    <w:rPr>
                      <w:szCs w:val="21"/>
                    </w:rPr>
                  </w:pPr>
                </w:p>
              </w:tc>
            </w:tr>
          </w:tbl>
          <w:p>
            <w:pPr>
              <w:widowControl/>
              <w:adjustRightInd w:val="0"/>
              <w:snapToGrid w:val="0"/>
              <w:spacing w:beforeLines="50"/>
              <w:jc w:val="center"/>
              <w:rPr>
                <w:b/>
                <w:kern w:val="0"/>
                <w:sz w:val="24"/>
              </w:rPr>
            </w:pPr>
            <w:r>
              <w:rPr>
                <w:rFonts w:hint="eastAsia"/>
                <w:b/>
                <w:kern w:val="0"/>
                <w:sz w:val="24"/>
              </w:rPr>
              <w:t>表</w:t>
            </w:r>
            <w:r>
              <w:rPr>
                <w:b/>
                <w:kern w:val="0"/>
                <w:sz w:val="24"/>
              </w:rPr>
              <w:t xml:space="preserve">5-6  </w:t>
            </w:r>
            <w:r>
              <w:rPr>
                <w:rFonts w:hint="eastAsia"/>
                <w:b/>
                <w:kern w:val="0"/>
                <w:sz w:val="24"/>
              </w:rPr>
              <w:t>建设项目固废产生情况</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453"/>
              <w:gridCol w:w="1233"/>
              <w:gridCol w:w="734"/>
              <w:gridCol w:w="794"/>
              <w:gridCol w:w="851"/>
              <w:gridCol w:w="1386"/>
              <w:gridCol w:w="10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0" w:type="dxa"/>
                  <w:tcBorders>
                    <w:top w:val="single" w:color="auto" w:sz="12" w:space="0"/>
                    <w:left w:val="nil"/>
                    <w:bottom w:val="single" w:color="auto" w:sz="4" w:space="0"/>
                    <w:right w:val="single" w:color="auto" w:sz="4" w:space="0"/>
                  </w:tcBorders>
                  <w:vAlign w:val="center"/>
                </w:tcPr>
                <w:p>
                  <w:pPr>
                    <w:adjustRightInd w:val="0"/>
                    <w:snapToGrid w:val="0"/>
                    <w:jc w:val="center"/>
                    <w:rPr>
                      <w:b/>
                      <w:szCs w:val="21"/>
                    </w:rPr>
                  </w:pPr>
                  <w:r>
                    <w:rPr>
                      <w:rFonts w:hint="eastAsia"/>
                      <w:b/>
                      <w:szCs w:val="21"/>
                    </w:rPr>
                    <w:t>序号</w:t>
                  </w:r>
                </w:p>
              </w:tc>
              <w:tc>
                <w:tcPr>
                  <w:tcW w:w="1638"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int="eastAsia"/>
                      <w:b/>
                      <w:szCs w:val="21"/>
                    </w:rPr>
                    <w:t>固废名称</w:t>
                  </w:r>
                </w:p>
              </w:tc>
              <w:tc>
                <w:tcPr>
                  <w:tcW w:w="1385"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int="eastAsia"/>
                      <w:b/>
                      <w:szCs w:val="21"/>
                    </w:rPr>
                    <w:t>属性</w:t>
                  </w:r>
                </w:p>
              </w:tc>
              <w:tc>
                <w:tcPr>
                  <w:tcW w:w="811"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int="eastAsia"/>
                      <w:b/>
                      <w:szCs w:val="21"/>
                    </w:rPr>
                    <w:t>产生工序</w:t>
                  </w:r>
                </w:p>
              </w:tc>
              <w:tc>
                <w:tcPr>
                  <w:tcW w:w="880"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int="eastAsia"/>
                      <w:b/>
                      <w:szCs w:val="21"/>
                    </w:rPr>
                    <w:t>形态</w:t>
                  </w:r>
                </w:p>
              </w:tc>
              <w:tc>
                <w:tcPr>
                  <w:tcW w:w="945"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int="eastAsia"/>
                      <w:b/>
                      <w:szCs w:val="21"/>
                    </w:rPr>
                    <w:t>主要成分</w:t>
                  </w:r>
                </w:p>
              </w:tc>
              <w:tc>
                <w:tcPr>
                  <w:tcW w:w="1561"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int="eastAsia"/>
                      <w:b/>
                      <w:szCs w:val="21"/>
                    </w:rPr>
                    <w:t>危险代码</w:t>
                  </w:r>
                </w:p>
              </w:tc>
              <w:tc>
                <w:tcPr>
                  <w:tcW w:w="1218" w:type="dxa"/>
                  <w:tcBorders>
                    <w:top w:val="single" w:color="auto" w:sz="12" w:space="0"/>
                    <w:left w:val="single" w:color="auto" w:sz="4" w:space="0"/>
                    <w:bottom w:val="single" w:color="auto" w:sz="4" w:space="0"/>
                    <w:right w:val="nil"/>
                  </w:tcBorders>
                  <w:vAlign w:val="center"/>
                </w:tcPr>
                <w:p>
                  <w:pPr>
                    <w:adjustRightInd w:val="0"/>
                    <w:snapToGrid w:val="0"/>
                    <w:jc w:val="center"/>
                    <w:rPr>
                      <w:b/>
                      <w:szCs w:val="21"/>
                    </w:rPr>
                  </w:pPr>
                  <w:r>
                    <w:rPr>
                      <w:rFonts w:hint="eastAsia"/>
                      <w:b/>
                      <w:szCs w:val="21"/>
                    </w:rPr>
                    <w:t>处置方式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00" w:type="dxa"/>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szCs w:val="21"/>
                    </w:rPr>
                    <w:t>1</w:t>
                  </w:r>
                </w:p>
              </w:tc>
              <w:tc>
                <w:tcPr>
                  <w:tcW w:w="16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木粉废包装</w:t>
                  </w:r>
                </w:p>
              </w:tc>
              <w:tc>
                <w:tcPr>
                  <w:tcW w:w="13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一般固废</w:t>
                  </w:r>
                </w:p>
              </w:tc>
              <w:tc>
                <w:tcPr>
                  <w:tcW w:w="8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原料拆包</w:t>
                  </w:r>
                </w:p>
              </w:tc>
              <w:tc>
                <w:tcPr>
                  <w:tcW w:w="8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固</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塑料</w:t>
                  </w:r>
                </w:p>
              </w:tc>
              <w:tc>
                <w:tcPr>
                  <w:tcW w:w="15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w:t>
                  </w:r>
                </w:p>
              </w:tc>
              <w:tc>
                <w:tcPr>
                  <w:tcW w:w="1218" w:type="dxa"/>
                  <w:tcBorders>
                    <w:top w:val="single" w:color="auto" w:sz="4" w:space="0"/>
                    <w:left w:val="single" w:color="auto" w:sz="4" w:space="0"/>
                    <w:bottom w:val="single" w:color="auto" w:sz="4" w:space="0"/>
                    <w:right w:val="nil"/>
                  </w:tcBorders>
                  <w:vAlign w:val="center"/>
                </w:tcPr>
                <w:p>
                  <w:pPr>
                    <w:adjustRightInd w:val="0"/>
                    <w:snapToGrid w:val="0"/>
                    <w:jc w:val="center"/>
                    <w:rPr>
                      <w:szCs w:val="21"/>
                    </w:rPr>
                  </w:pPr>
                  <w:r>
                    <w:rPr>
                      <w:rFonts w:hint="eastAsia"/>
                      <w:szCs w:val="21"/>
                    </w:rPr>
                    <w:t>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00" w:type="dxa"/>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szCs w:val="21"/>
                    </w:rPr>
                    <w:t>2</w:t>
                  </w:r>
                </w:p>
              </w:tc>
              <w:tc>
                <w:tcPr>
                  <w:tcW w:w="16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收集的粉尘</w:t>
                  </w:r>
                </w:p>
              </w:tc>
              <w:tc>
                <w:tcPr>
                  <w:tcW w:w="13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一般固废</w:t>
                  </w:r>
                </w:p>
              </w:tc>
              <w:tc>
                <w:tcPr>
                  <w:tcW w:w="8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废气处理</w:t>
                  </w:r>
                </w:p>
              </w:tc>
              <w:tc>
                <w:tcPr>
                  <w:tcW w:w="8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固</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木材</w:t>
                  </w:r>
                </w:p>
              </w:tc>
              <w:tc>
                <w:tcPr>
                  <w:tcW w:w="15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w:t>
                  </w:r>
                </w:p>
              </w:tc>
              <w:tc>
                <w:tcPr>
                  <w:tcW w:w="1218" w:type="dxa"/>
                  <w:tcBorders>
                    <w:top w:val="single" w:color="auto" w:sz="4" w:space="0"/>
                    <w:left w:val="single" w:color="auto" w:sz="4" w:space="0"/>
                    <w:bottom w:val="single" w:color="auto" w:sz="4" w:space="0"/>
                    <w:right w:val="nil"/>
                  </w:tcBorders>
                  <w:vAlign w:val="center"/>
                </w:tcPr>
                <w:p>
                  <w:pPr>
                    <w:adjustRightInd w:val="0"/>
                    <w:snapToGrid w:val="0"/>
                    <w:jc w:val="center"/>
                    <w:rPr>
                      <w:szCs w:val="21"/>
                    </w:rPr>
                  </w:pPr>
                  <w:r>
                    <w:rPr>
                      <w:rFonts w:hint="eastAsia"/>
                      <w:szCs w:val="21"/>
                    </w:rPr>
                    <w:t>回用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00" w:type="dxa"/>
                  <w:tcBorders>
                    <w:top w:val="single" w:color="auto" w:sz="4" w:space="0"/>
                    <w:left w:val="nil"/>
                    <w:bottom w:val="single" w:color="auto" w:sz="12" w:space="0"/>
                    <w:right w:val="single" w:color="auto" w:sz="4" w:space="0"/>
                  </w:tcBorders>
                  <w:vAlign w:val="center"/>
                </w:tcPr>
                <w:p>
                  <w:pPr>
                    <w:adjustRightInd w:val="0"/>
                    <w:snapToGrid w:val="0"/>
                    <w:jc w:val="center"/>
                    <w:rPr>
                      <w:szCs w:val="21"/>
                    </w:rPr>
                  </w:pPr>
                  <w:r>
                    <w:rPr>
                      <w:szCs w:val="21"/>
                    </w:rPr>
                    <w:t>3</w:t>
                  </w:r>
                </w:p>
              </w:tc>
              <w:tc>
                <w:tcPr>
                  <w:tcW w:w="1638"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rFonts w:hint="eastAsia"/>
                      <w:szCs w:val="21"/>
                    </w:rPr>
                    <w:t>生活垃圾</w:t>
                  </w:r>
                </w:p>
              </w:tc>
              <w:tc>
                <w:tcPr>
                  <w:tcW w:w="1385"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rFonts w:hint="eastAsia"/>
                      <w:szCs w:val="21"/>
                    </w:rPr>
                    <w:t>生活垃圾</w:t>
                  </w:r>
                </w:p>
              </w:tc>
              <w:tc>
                <w:tcPr>
                  <w:tcW w:w="811"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rFonts w:hint="eastAsia"/>
                      <w:szCs w:val="21"/>
                    </w:rPr>
                    <w:t>员工生活</w:t>
                  </w:r>
                </w:p>
              </w:tc>
              <w:tc>
                <w:tcPr>
                  <w:tcW w:w="880"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rFonts w:hint="eastAsia"/>
                      <w:szCs w:val="21"/>
                    </w:rPr>
                    <w:t>固</w:t>
                  </w:r>
                </w:p>
              </w:tc>
              <w:tc>
                <w:tcPr>
                  <w:tcW w:w="945"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rFonts w:hint="eastAsia"/>
                      <w:szCs w:val="21"/>
                    </w:rPr>
                    <w:t>纸</w:t>
                  </w:r>
                </w:p>
              </w:tc>
              <w:tc>
                <w:tcPr>
                  <w:tcW w:w="1561"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szCs w:val="21"/>
                    </w:rPr>
                    <w:t>—</w:t>
                  </w:r>
                </w:p>
              </w:tc>
              <w:tc>
                <w:tcPr>
                  <w:tcW w:w="1218" w:type="dxa"/>
                  <w:tcBorders>
                    <w:top w:val="single" w:color="auto" w:sz="4" w:space="0"/>
                    <w:left w:val="single" w:color="auto" w:sz="4" w:space="0"/>
                    <w:bottom w:val="single" w:color="auto" w:sz="12" w:space="0"/>
                    <w:right w:val="nil"/>
                  </w:tcBorders>
                  <w:vAlign w:val="center"/>
                </w:tcPr>
                <w:p>
                  <w:pPr>
                    <w:adjustRightInd w:val="0"/>
                    <w:snapToGrid w:val="0"/>
                    <w:jc w:val="center"/>
                    <w:rPr>
                      <w:szCs w:val="21"/>
                    </w:rPr>
                  </w:pPr>
                  <w:r>
                    <w:rPr>
                      <w:rFonts w:hint="eastAsia"/>
                      <w:szCs w:val="21"/>
                    </w:rPr>
                    <w:t>由环卫部门清运</w:t>
                  </w:r>
                </w:p>
              </w:tc>
            </w:tr>
          </w:tbl>
          <w:p>
            <w:pPr>
              <w:adjustRightInd w:val="0"/>
              <w:snapToGrid w:val="0"/>
              <w:spacing w:beforeLines="50" w:line="360" w:lineRule="auto"/>
              <w:ind w:firstLine="480" w:firstLineChars="200"/>
              <w:rPr>
                <w:sz w:val="24"/>
                <w:szCs w:val="24"/>
              </w:rPr>
            </w:pPr>
            <w:r>
              <w:rPr>
                <w:sz w:val="24"/>
                <w:szCs w:val="24"/>
              </w:rPr>
              <w:t>4</w:t>
            </w:r>
            <w:r>
              <w:rPr>
                <w:rFonts w:hint="eastAsia"/>
                <w:sz w:val="24"/>
                <w:szCs w:val="24"/>
              </w:rPr>
              <w:t>、噪声</w:t>
            </w:r>
          </w:p>
          <w:p>
            <w:pPr>
              <w:tabs>
                <w:tab w:val="left" w:pos="390"/>
              </w:tabs>
              <w:adjustRightInd w:val="0"/>
              <w:snapToGrid w:val="0"/>
              <w:spacing w:line="360" w:lineRule="auto"/>
              <w:ind w:firstLine="480" w:firstLineChars="200"/>
              <w:rPr>
                <w:sz w:val="24"/>
                <w:szCs w:val="24"/>
              </w:rPr>
            </w:pPr>
            <w:r>
              <w:rPr>
                <w:rFonts w:hint="eastAsia"/>
                <w:bCs/>
                <w:sz w:val="24"/>
              </w:rPr>
              <w:t>本项目生产过程中产生的噪声</w:t>
            </w:r>
            <w:r>
              <w:rPr>
                <w:rFonts w:hint="eastAsia"/>
                <w:kern w:val="0"/>
                <w:sz w:val="24"/>
              </w:rPr>
              <w:t>主要为漂白机、木粉粉碎机、筛粉机</w:t>
            </w:r>
            <w:r>
              <w:rPr>
                <w:rFonts w:hint="eastAsia"/>
                <w:sz w:val="24"/>
              </w:rPr>
              <w:t>等</w:t>
            </w:r>
            <w:r>
              <w:rPr>
                <w:rFonts w:hint="eastAsia"/>
                <w:kern w:val="0"/>
                <w:sz w:val="24"/>
              </w:rPr>
              <w:t>设备</w:t>
            </w:r>
            <w:r>
              <w:rPr>
                <w:rFonts w:hint="eastAsia"/>
                <w:bCs/>
                <w:sz w:val="24"/>
              </w:rPr>
              <w:t>，噪声级</w:t>
            </w:r>
            <w:r>
              <w:rPr>
                <w:rFonts w:hint="eastAsia"/>
                <w:sz w:val="24"/>
              </w:rPr>
              <w:t>为</w:t>
            </w:r>
            <w:r>
              <w:rPr>
                <w:sz w:val="24"/>
              </w:rPr>
              <w:t>75</w:t>
            </w:r>
            <w:r>
              <w:rPr>
                <w:rFonts w:hint="eastAsia"/>
                <w:sz w:val="24"/>
              </w:rPr>
              <w:t>～</w:t>
            </w:r>
            <w:r>
              <w:rPr>
                <w:sz w:val="24"/>
              </w:rPr>
              <w:t>8</w:t>
            </w:r>
            <w:r>
              <w:rPr>
                <w:rFonts w:hint="eastAsia"/>
                <w:sz w:val="24"/>
              </w:rPr>
              <w:t>5</w:t>
            </w:r>
            <w:r>
              <w:rPr>
                <w:sz w:val="24"/>
              </w:rPr>
              <w:t>dB(A)</w:t>
            </w:r>
            <w:r>
              <w:rPr>
                <w:rFonts w:hint="eastAsia"/>
                <w:sz w:val="24"/>
              </w:rPr>
              <w:t>。运营期车间内</w:t>
            </w:r>
            <w:r>
              <w:rPr>
                <w:rFonts w:hint="eastAsia"/>
                <w:sz w:val="24"/>
                <w:szCs w:val="24"/>
              </w:rPr>
              <w:t>主要噪声设备见表</w:t>
            </w:r>
            <w:r>
              <w:rPr>
                <w:sz w:val="24"/>
                <w:szCs w:val="24"/>
              </w:rPr>
              <w:t>5-7</w:t>
            </w:r>
            <w:r>
              <w:rPr>
                <w:rFonts w:hint="eastAsia"/>
                <w:sz w:val="24"/>
                <w:szCs w:val="24"/>
              </w:rPr>
              <w:t>。</w:t>
            </w:r>
          </w:p>
          <w:p>
            <w:pPr>
              <w:adjustRightInd w:val="0"/>
              <w:snapToGrid w:val="0"/>
              <w:jc w:val="center"/>
              <w:rPr>
                <w:b/>
                <w:sz w:val="24"/>
                <w:szCs w:val="24"/>
              </w:rPr>
            </w:pPr>
            <w:r>
              <w:rPr>
                <w:rFonts w:hint="eastAsia"/>
                <w:b/>
                <w:bCs/>
                <w:sz w:val="24"/>
                <w:szCs w:val="24"/>
              </w:rPr>
              <w:t>表</w:t>
            </w:r>
            <w:r>
              <w:rPr>
                <w:b/>
                <w:bCs/>
                <w:sz w:val="24"/>
                <w:szCs w:val="24"/>
              </w:rPr>
              <w:t xml:space="preserve">5-7  </w:t>
            </w:r>
            <w:r>
              <w:rPr>
                <w:rFonts w:hint="eastAsia"/>
                <w:b/>
                <w:bCs/>
                <w:sz w:val="24"/>
                <w:szCs w:val="24"/>
              </w:rPr>
              <w:t>本</w:t>
            </w:r>
            <w:r>
              <w:rPr>
                <w:rFonts w:hint="eastAsia"/>
                <w:b/>
                <w:sz w:val="24"/>
                <w:szCs w:val="24"/>
              </w:rPr>
              <w:t>项目噪声设备一览表</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
            <w:tblGrid>
              <w:gridCol w:w="577"/>
              <w:gridCol w:w="1415"/>
              <w:gridCol w:w="934"/>
              <w:gridCol w:w="1134"/>
              <w:gridCol w:w="1104"/>
              <w:gridCol w:w="939"/>
              <w:gridCol w:w="1009"/>
              <w:gridCol w:w="1065"/>
            </w:tblGrid>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90" w:hRule="atLeast"/>
                <w:jc w:val="center"/>
              </w:trPr>
              <w:tc>
                <w:tcPr>
                  <w:tcW w:w="353" w:type="pct"/>
                  <w:vAlign w:val="center"/>
                </w:tcPr>
                <w:p>
                  <w:pPr>
                    <w:adjustRightInd w:val="0"/>
                    <w:snapToGrid w:val="0"/>
                    <w:jc w:val="center"/>
                    <w:rPr>
                      <w:b/>
                      <w:szCs w:val="21"/>
                    </w:rPr>
                  </w:pPr>
                  <w:r>
                    <w:rPr>
                      <w:rFonts w:hint="eastAsia"/>
                      <w:b/>
                      <w:szCs w:val="21"/>
                    </w:rPr>
                    <w:t>序号</w:t>
                  </w:r>
                </w:p>
              </w:tc>
              <w:tc>
                <w:tcPr>
                  <w:tcW w:w="865" w:type="pct"/>
                  <w:vAlign w:val="center"/>
                </w:tcPr>
                <w:p>
                  <w:pPr>
                    <w:adjustRightInd w:val="0"/>
                    <w:snapToGrid w:val="0"/>
                    <w:jc w:val="center"/>
                    <w:rPr>
                      <w:b/>
                      <w:szCs w:val="21"/>
                    </w:rPr>
                  </w:pPr>
                  <w:r>
                    <w:rPr>
                      <w:rFonts w:hint="eastAsia"/>
                      <w:b/>
                      <w:szCs w:val="21"/>
                    </w:rPr>
                    <w:t>噪声设备名称</w:t>
                  </w:r>
                </w:p>
              </w:tc>
              <w:tc>
                <w:tcPr>
                  <w:tcW w:w="571" w:type="pct"/>
                  <w:vAlign w:val="center"/>
                </w:tcPr>
                <w:p>
                  <w:pPr>
                    <w:adjustRightInd w:val="0"/>
                    <w:snapToGrid w:val="0"/>
                    <w:jc w:val="center"/>
                    <w:rPr>
                      <w:b/>
                      <w:szCs w:val="21"/>
                    </w:rPr>
                  </w:pPr>
                  <w:r>
                    <w:rPr>
                      <w:rFonts w:hint="eastAsia"/>
                      <w:b/>
                      <w:szCs w:val="21"/>
                    </w:rPr>
                    <w:t>数量（台）</w:t>
                  </w:r>
                </w:p>
              </w:tc>
              <w:tc>
                <w:tcPr>
                  <w:tcW w:w="693" w:type="pct"/>
                  <w:vAlign w:val="center"/>
                </w:tcPr>
                <w:p>
                  <w:pPr>
                    <w:adjustRightInd w:val="0"/>
                    <w:snapToGrid w:val="0"/>
                    <w:jc w:val="center"/>
                    <w:rPr>
                      <w:b/>
                      <w:szCs w:val="21"/>
                    </w:rPr>
                  </w:pPr>
                  <w:r>
                    <w:rPr>
                      <w:rFonts w:hint="eastAsia"/>
                      <w:b/>
                      <w:szCs w:val="21"/>
                    </w:rPr>
                    <w:t>单台噪声值</w:t>
                  </w:r>
                  <w:r>
                    <w:rPr>
                      <w:b/>
                      <w:szCs w:val="21"/>
                    </w:rPr>
                    <w:t>dB</w:t>
                  </w:r>
                  <w:r>
                    <w:rPr>
                      <w:rFonts w:hint="eastAsia"/>
                      <w:b/>
                      <w:szCs w:val="21"/>
                    </w:rPr>
                    <w:t>（</w:t>
                  </w:r>
                  <w:r>
                    <w:rPr>
                      <w:b/>
                      <w:szCs w:val="21"/>
                    </w:rPr>
                    <w:t>A</w:t>
                  </w:r>
                  <w:r>
                    <w:rPr>
                      <w:rFonts w:hint="eastAsia"/>
                      <w:b/>
                      <w:szCs w:val="21"/>
                    </w:rPr>
                    <w:t>）</w:t>
                  </w:r>
                </w:p>
              </w:tc>
              <w:tc>
                <w:tcPr>
                  <w:tcW w:w="675" w:type="pct"/>
                  <w:vAlign w:val="center"/>
                </w:tcPr>
                <w:p>
                  <w:pPr>
                    <w:adjustRightInd w:val="0"/>
                    <w:snapToGrid w:val="0"/>
                    <w:jc w:val="center"/>
                    <w:rPr>
                      <w:b/>
                      <w:szCs w:val="21"/>
                    </w:rPr>
                  </w:pPr>
                  <w:r>
                    <w:rPr>
                      <w:rFonts w:hint="eastAsia"/>
                      <w:b/>
                      <w:szCs w:val="21"/>
                    </w:rPr>
                    <w:t>厂界距离（</w:t>
                  </w:r>
                  <w:r>
                    <w:rPr>
                      <w:b/>
                      <w:szCs w:val="21"/>
                    </w:rPr>
                    <w:t>m</w:t>
                  </w:r>
                  <w:r>
                    <w:rPr>
                      <w:rFonts w:hint="eastAsia"/>
                      <w:b/>
                      <w:szCs w:val="21"/>
                    </w:rPr>
                    <w:t>）</w:t>
                  </w:r>
                </w:p>
              </w:tc>
              <w:tc>
                <w:tcPr>
                  <w:tcW w:w="574" w:type="pct"/>
                  <w:vAlign w:val="center"/>
                </w:tcPr>
                <w:p>
                  <w:pPr>
                    <w:adjustRightInd w:val="0"/>
                    <w:snapToGrid w:val="0"/>
                    <w:jc w:val="center"/>
                    <w:rPr>
                      <w:b/>
                      <w:szCs w:val="21"/>
                    </w:rPr>
                  </w:pPr>
                  <w:r>
                    <w:rPr>
                      <w:rFonts w:hint="eastAsia"/>
                      <w:b/>
                      <w:szCs w:val="21"/>
                    </w:rPr>
                    <w:t>所处位置</w:t>
                  </w:r>
                </w:p>
              </w:tc>
              <w:tc>
                <w:tcPr>
                  <w:tcW w:w="617" w:type="pct"/>
                  <w:vAlign w:val="center"/>
                </w:tcPr>
                <w:p>
                  <w:pPr>
                    <w:adjustRightInd w:val="0"/>
                    <w:snapToGrid w:val="0"/>
                    <w:jc w:val="center"/>
                    <w:rPr>
                      <w:b/>
                      <w:szCs w:val="21"/>
                    </w:rPr>
                  </w:pPr>
                  <w:r>
                    <w:rPr>
                      <w:rFonts w:hint="eastAsia"/>
                      <w:b/>
                      <w:szCs w:val="21"/>
                    </w:rPr>
                    <w:t>治理措施</w:t>
                  </w:r>
                </w:p>
              </w:tc>
              <w:tc>
                <w:tcPr>
                  <w:tcW w:w="651" w:type="pct"/>
                  <w:vAlign w:val="center"/>
                </w:tcPr>
                <w:p>
                  <w:pPr>
                    <w:adjustRightInd w:val="0"/>
                    <w:snapToGrid w:val="0"/>
                    <w:jc w:val="center"/>
                    <w:rPr>
                      <w:b/>
                      <w:szCs w:val="21"/>
                    </w:rPr>
                  </w:pPr>
                  <w:r>
                    <w:rPr>
                      <w:rFonts w:hint="eastAsia"/>
                      <w:b/>
                      <w:szCs w:val="21"/>
                    </w:rPr>
                    <w:t>降噪效果</w:t>
                  </w:r>
                  <w:r>
                    <w:rPr>
                      <w:b/>
                      <w:szCs w:val="21"/>
                    </w:rPr>
                    <w:t>dB</w:t>
                  </w:r>
                  <w:r>
                    <w:rPr>
                      <w:rFonts w:hint="eastAsia"/>
                      <w:b/>
                      <w:szCs w:val="21"/>
                    </w:rPr>
                    <w:t>（</w:t>
                  </w:r>
                  <w:r>
                    <w:rPr>
                      <w:b/>
                      <w:szCs w:val="21"/>
                    </w:rPr>
                    <w:t>A</w:t>
                  </w:r>
                  <w:r>
                    <w:rPr>
                      <w:rFonts w:hint="eastAsia"/>
                      <w:b/>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324" w:hRule="atLeast"/>
                <w:jc w:val="center"/>
              </w:trPr>
              <w:tc>
                <w:tcPr>
                  <w:tcW w:w="353" w:type="pct"/>
                  <w:vAlign w:val="center"/>
                </w:tcPr>
                <w:p>
                  <w:pPr>
                    <w:adjustRightInd w:val="0"/>
                    <w:snapToGrid w:val="0"/>
                    <w:jc w:val="center"/>
                    <w:rPr>
                      <w:szCs w:val="21"/>
                    </w:rPr>
                  </w:pPr>
                  <w:r>
                    <w:rPr>
                      <w:szCs w:val="21"/>
                    </w:rPr>
                    <w:t>1</w:t>
                  </w:r>
                </w:p>
              </w:tc>
              <w:tc>
                <w:tcPr>
                  <w:tcW w:w="865" w:type="pct"/>
                  <w:vAlign w:val="center"/>
                </w:tcPr>
                <w:p>
                  <w:pPr>
                    <w:jc w:val="center"/>
                    <w:rPr>
                      <w:szCs w:val="21"/>
                    </w:rPr>
                  </w:pPr>
                  <w:r>
                    <w:rPr>
                      <w:rFonts w:hint="eastAsia"/>
                      <w:kern w:val="0"/>
                      <w:szCs w:val="21"/>
                    </w:rPr>
                    <w:t>漂白机</w:t>
                  </w:r>
                </w:p>
              </w:tc>
              <w:tc>
                <w:tcPr>
                  <w:tcW w:w="571" w:type="pct"/>
                  <w:vAlign w:val="center"/>
                </w:tcPr>
                <w:p>
                  <w:pPr>
                    <w:adjustRightInd w:val="0"/>
                    <w:snapToGrid w:val="0"/>
                    <w:jc w:val="center"/>
                    <w:rPr>
                      <w:szCs w:val="21"/>
                    </w:rPr>
                  </w:pPr>
                  <w:r>
                    <w:rPr>
                      <w:rFonts w:hint="eastAsia"/>
                      <w:szCs w:val="21"/>
                    </w:rPr>
                    <w:t>1</w:t>
                  </w:r>
                </w:p>
              </w:tc>
              <w:tc>
                <w:tcPr>
                  <w:tcW w:w="693" w:type="pct"/>
                  <w:vAlign w:val="center"/>
                </w:tcPr>
                <w:p>
                  <w:pPr>
                    <w:adjustRightInd w:val="0"/>
                    <w:snapToGrid w:val="0"/>
                    <w:jc w:val="center"/>
                    <w:rPr>
                      <w:szCs w:val="21"/>
                    </w:rPr>
                  </w:pPr>
                  <w:r>
                    <w:rPr>
                      <w:szCs w:val="21"/>
                    </w:rPr>
                    <w:t>75</w:t>
                  </w:r>
                </w:p>
              </w:tc>
              <w:tc>
                <w:tcPr>
                  <w:tcW w:w="675" w:type="pct"/>
                  <w:vAlign w:val="center"/>
                </w:tcPr>
                <w:p>
                  <w:pPr>
                    <w:adjustRightInd w:val="0"/>
                    <w:snapToGrid w:val="0"/>
                    <w:jc w:val="center"/>
                    <w:rPr>
                      <w:szCs w:val="21"/>
                    </w:rPr>
                  </w:pPr>
                  <w:r>
                    <w:rPr>
                      <w:rFonts w:hint="eastAsia"/>
                      <w:szCs w:val="21"/>
                    </w:rPr>
                    <w:t>10</w:t>
                  </w:r>
                </w:p>
              </w:tc>
              <w:tc>
                <w:tcPr>
                  <w:tcW w:w="574" w:type="pct"/>
                  <w:vMerge w:val="restart"/>
                  <w:vAlign w:val="center"/>
                </w:tcPr>
                <w:p>
                  <w:pPr>
                    <w:adjustRightInd w:val="0"/>
                    <w:snapToGrid w:val="0"/>
                    <w:jc w:val="center"/>
                    <w:rPr>
                      <w:szCs w:val="21"/>
                    </w:rPr>
                  </w:pPr>
                  <w:r>
                    <w:rPr>
                      <w:rFonts w:hint="eastAsia"/>
                      <w:szCs w:val="21"/>
                    </w:rPr>
                    <w:t>漂白车间</w:t>
                  </w:r>
                </w:p>
              </w:tc>
              <w:tc>
                <w:tcPr>
                  <w:tcW w:w="617" w:type="pct"/>
                  <w:vMerge w:val="restart"/>
                  <w:vAlign w:val="center"/>
                </w:tcPr>
                <w:p>
                  <w:pPr>
                    <w:adjustRightInd w:val="0"/>
                    <w:snapToGrid w:val="0"/>
                    <w:jc w:val="center"/>
                    <w:rPr>
                      <w:szCs w:val="21"/>
                    </w:rPr>
                  </w:pPr>
                  <w:r>
                    <w:rPr>
                      <w:rFonts w:hint="eastAsia"/>
                      <w:szCs w:val="21"/>
                    </w:rPr>
                    <w:t>基础减震、厂房隔声</w:t>
                  </w:r>
                </w:p>
              </w:tc>
              <w:tc>
                <w:tcPr>
                  <w:tcW w:w="651" w:type="pct"/>
                  <w:vMerge w:val="restart"/>
                  <w:vAlign w:val="center"/>
                </w:tcPr>
                <w:p>
                  <w:pPr>
                    <w:adjustRightInd w:val="0"/>
                    <w:snapToGrid w:val="0"/>
                    <w:jc w:val="center"/>
                    <w:rPr>
                      <w:szCs w:val="21"/>
                    </w:rPr>
                  </w:pPr>
                  <w:r>
                    <w:rPr>
                      <w:szCs w:val="21"/>
                    </w:rPr>
                    <w:t>25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354" w:hRule="atLeast"/>
                <w:jc w:val="center"/>
              </w:trPr>
              <w:tc>
                <w:tcPr>
                  <w:tcW w:w="353" w:type="pct"/>
                  <w:vAlign w:val="center"/>
                </w:tcPr>
                <w:p>
                  <w:pPr>
                    <w:adjustRightInd w:val="0"/>
                    <w:snapToGrid w:val="0"/>
                    <w:jc w:val="center"/>
                    <w:rPr>
                      <w:szCs w:val="21"/>
                    </w:rPr>
                  </w:pPr>
                  <w:r>
                    <w:rPr>
                      <w:szCs w:val="21"/>
                    </w:rPr>
                    <w:t>2</w:t>
                  </w:r>
                </w:p>
              </w:tc>
              <w:tc>
                <w:tcPr>
                  <w:tcW w:w="865" w:type="pct"/>
                  <w:vAlign w:val="center"/>
                </w:tcPr>
                <w:p>
                  <w:pPr>
                    <w:jc w:val="center"/>
                    <w:rPr>
                      <w:szCs w:val="21"/>
                    </w:rPr>
                  </w:pPr>
                  <w:r>
                    <w:rPr>
                      <w:rFonts w:hint="eastAsia"/>
                      <w:kern w:val="0"/>
                      <w:szCs w:val="21"/>
                    </w:rPr>
                    <w:t>木粉粉碎机</w:t>
                  </w:r>
                </w:p>
              </w:tc>
              <w:tc>
                <w:tcPr>
                  <w:tcW w:w="571" w:type="pct"/>
                  <w:vAlign w:val="center"/>
                </w:tcPr>
                <w:p>
                  <w:pPr>
                    <w:adjustRightInd w:val="0"/>
                    <w:snapToGrid w:val="0"/>
                    <w:jc w:val="center"/>
                    <w:rPr>
                      <w:szCs w:val="21"/>
                    </w:rPr>
                  </w:pPr>
                  <w:r>
                    <w:rPr>
                      <w:rFonts w:hint="eastAsia"/>
                      <w:szCs w:val="21"/>
                    </w:rPr>
                    <w:t>8</w:t>
                  </w:r>
                </w:p>
              </w:tc>
              <w:tc>
                <w:tcPr>
                  <w:tcW w:w="693" w:type="pct"/>
                  <w:vAlign w:val="center"/>
                </w:tcPr>
                <w:p>
                  <w:pPr>
                    <w:adjustRightInd w:val="0"/>
                    <w:snapToGrid w:val="0"/>
                    <w:jc w:val="center"/>
                    <w:rPr>
                      <w:szCs w:val="21"/>
                    </w:rPr>
                  </w:pPr>
                  <w:r>
                    <w:rPr>
                      <w:szCs w:val="21"/>
                    </w:rPr>
                    <w:t>85</w:t>
                  </w:r>
                </w:p>
              </w:tc>
              <w:tc>
                <w:tcPr>
                  <w:tcW w:w="675" w:type="pct"/>
                  <w:vAlign w:val="center"/>
                </w:tcPr>
                <w:p>
                  <w:pPr>
                    <w:adjustRightInd w:val="0"/>
                    <w:snapToGrid w:val="0"/>
                    <w:jc w:val="center"/>
                    <w:rPr>
                      <w:szCs w:val="21"/>
                    </w:rPr>
                  </w:pPr>
                  <w:r>
                    <w:rPr>
                      <w:rFonts w:hint="eastAsia"/>
                      <w:szCs w:val="21"/>
                    </w:rPr>
                    <w:t>10</w:t>
                  </w:r>
                </w:p>
              </w:tc>
              <w:tc>
                <w:tcPr>
                  <w:tcW w:w="574" w:type="pct"/>
                  <w:vMerge w:val="continue"/>
                  <w:vAlign w:val="center"/>
                </w:tcPr>
                <w:p>
                  <w:pPr>
                    <w:widowControl/>
                    <w:jc w:val="center"/>
                    <w:rPr>
                      <w:szCs w:val="21"/>
                    </w:rPr>
                  </w:pPr>
                </w:p>
              </w:tc>
              <w:tc>
                <w:tcPr>
                  <w:tcW w:w="617" w:type="pct"/>
                  <w:vMerge w:val="continue"/>
                  <w:vAlign w:val="center"/>
                </w:tcPr>
                <w:p>
                  <w:pPr>
                    <w:widowControl/>
                    <w:jc w:val="center"/>
                    <w:rPr>
                      <w:szCs w:val="21"/>
                    </w:rPr>
                  </w:pPr>
                </w:p>
              </w:tc>
              <w:tc>
                <w:tcPr>
                  <w:tcW w:w="651" w:type="pct"/>
                  <w:vMerge w:val="continue"/>
                  <w:vAlign w:val="center"/>
                </w:tcPr>
                <w:p>
                  <w:pPr>
                    <w:widowControl/>
                    <w:jc w:val="center"/>
                    <w:rPr>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514" w:hRule="atLeast"/>
                <w:jc w:val="center"/>
              </w:trPr>
              <w:tc>
                <w:tcPr>
                  <w:tcW w:w="353" w:type="pct"/>
                  <w:vAlign w:val="center"/>
                </w:tcPr>
                <w:p>
                  <w:pPr>
                    <w:adjustRightInd w:val="0"/>
                    <w:snapToGrid w:val="0"/>
                    <w:jc w:val="center"/>
                    <w:rPr>
                      <w:szCs w:val="21"/>
                    </w:rPr>
                  </w:pPr>
                  <w:r>
                    <w:rPr>
                      <w:szCs w:val="21"/>
                    </w:rPr>
                    <w:t>3</w:t>
                  </w:r>
                </w:p>
              </w:tc>
              <w:tc>
                <w:tcPr>
                  <w:tcW w:w="865" w:type="pct"/>
                  <w:vAlign w:val="center"/>
                </w:tcPr>
                <w:p>
                  <w:pPr>
                    <w:jc w:val="center"/>
                    <w:rPr>
                      <w:szCs w:val="21"/>
                    </w:rPr>
                  </w:pPr>
                  <w:r>
                    <w:rPr>
                      <w:rFonts w:hint="eastAsia"/>
                      <w:szCs w:val="21"/>
                    </w:rPr>
                    <w:t>脉冲式除尘设备</w:t>
                  </w:r>
                </w:p>
              </w:tc>
              <w:tc>
                <w:tcPr>
                  <w:tcW w:w="571" w:type="pct"/>
                  <w:vAlign w:val="center"/>
                </w:tcPr>
                <w:p>
                  <w:pPr>
                    <w:adjustRightInd w:val="0"/>
                    <w:snapToGrid w:val="0"/>
                    <w:jc w:val="center"/>
                    <w:rPr>
                      <w:szCs w:val="21"/>
                    </w:rPr>
                  </w:pPr>
                  <w:r>
                    <w:rPr>
                      <w:rFonts w:hint="eastAsia"/>
                      <w:szCs w:val="21"/>
                    </w:rPr>
                    <w:t>1</w:t>
                  </w:r>
                </w:p>
              </w:tc>
              <w:tc>
                <w:tcPr>
                  <w:tcW w:w="693" w:type="pct"/>
                  <w:vAlign w:val="center"/>
                </w:tcPr>
                <w:p>
                  <w:pPr>
                    <w:adjustRightInd w:val="0"/>
                    <w:snapToGrid w:val="0"/>
                    <w:jc w:val="center"/>
                    <w:rPr>
                      <w:szCs w:val="21"/>
                    </w:rPr>
                  </w:pPr>
                  <w:r>
                    <w:rPr>
                      <w:szCs w:val="21"/>
                    </w:rPr>
                    <w:t>80</w:t>
                  </w:r>
                </w:p>
              </w:tc>
              <w:tc>
                <w:tcPr>
                  <w:tcW w:w="675" w:type="pct"/>
                  <w:vAlign w:val="center"/>
                </w:tcPr>
                <w:p>
                  <w:pPr>
                    <w:adjustRightInd w:val="0"/>
                    <w:snapToGrid w:val="0"/>
                    <w:jc w:val="center"/>
                    <w:rPr>
                      <w:szCs w:val="21"/>
                    </w:rPr>
                  </w:pPr>
                  <w:r>
                    <w:rPr>
                      <w:rFonts w:hint="eastAsia"/>
                      <w:szCs w:val="21"/>
                    </w:rPr>
                    <w:t>10</w:t>
                  </w:r>
                </w:p>
              </w:tc>
              <w:tc>
                <w:tcPr>
                  <w:tcW w:w="574" w:type="pct"/>
                  <w:vMerge w:val="restart"/>
                  <w:vAlign w:val="center"/>
                </w:tcPr>
                <w:p>
                  <w:pPr>
                    <w:jc w:val="center"/>
                    <w:rPr>
                      <w:szCs w:val="21"/>
                    </w:rPr>
                  </w:pPr>
                  <w:r>
                    <w:rPr>
                      <w:rFonts w:hint="eastAsia"/>
                      <w:szCs w:val="21"/>
                    </w:rPr>
                    <w:t>筛分车间</w:t>
                  </w:r>
                </w:p>
              </w:tc>
              <w:tc>
                <w:tcPr>
                  <w:tcW w:w="617" w:type="pct"/>
                  <w:vMerge w:val="continue"/>
                  <w:vAlign w:val="center"/>
                </w:tcPr>
                <w:p>
                  <w:pPr>
                    <w:widowControl/>
                    <w:jc w:val="center"/>
                    <w:rPr>
                      <w:szCs w:val="21"/>
                    </w:rPr>
                  </w:pPr>
                </w:p>
              </w:tc>
              <w:tc>
                <w:tcPr>
                  <w:tcW w:w="651" w:type="pct"/>
                  <w:vMerge w:val="continue"/>
                  <w:vAlign w:val="center"/>
                </w:tcPr>
                <w:p>
                  <w:pPr>
                    <w:widowControl/>
                    <w:jc w:val="center"/>
                    <w:rPr>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344" w:hRule="atLeast"/>
                <w:jc w:val="center"/>
              </w:trPr>
              <w:tc>
                <w:tcPr>
                  <w:tcW w:w="353" w:type="pct"/>
                  <w:vAlign w:val="center"/>
                </w:tcPr>
                <w:p>
                  <w:pPr>
                    <w:adjustRightInd w:val="0"/>
                    <w:snapToGrid w:val="0"/>
                    <w:jc w:val="center"/>
                    <w:rPr>
                      <w:szCs w:val="21"/>
                    </w:rPr>
                  </w:pPr>
                  <w:r>
                    <w:rPr>
                      <w:szCs w:val="21"/>
                    </w:rPr>
                    <w:t>4</w:t>
                  </w:r>
                </w:p>
              </w:tc>
              <w:tc>
                <w:tcPr>
                  <w:tcW w:w="865" w:type="pct"/>
                  <w:vAlign w:val="center"/>
                </w:tcPr>
                <w:p>
                  <w:pPr>
                    <w:adjustRightInd w:val="0"/>
                    <w:snapToGrid w:val="0"/>
                    <w:jc w:val="center"/>
                    <w:rPr>
                      <w:szCs w:val="21"/>
                    </w:rPr>
                  </w:pPr>
                  <w:r>
                    <w:rPr>
                      <w:rFonts w:hint="eastAsia"/>
                      <w:kern w:val="0"/>
                      <w:szCs w:val="21"/>
                    </w:rPr>
                    <w:t>筛粉机</w:t>
                  </w:r>
                </w:p>
              </w:tc>
              <w:tc>
                <w:tcPr>
                  <w:tcW w:w="571" w:type="pct"/>
                  <w:vAlign w:val="center"/>
                </w:tcPr>
                <w:p>
                  <w:pPr>
                    <w:adjustRightInd w:val="0"/>
                    <w:snapToGrid w:val="0"/>
                    <w:jc w:val="center"/>
                    <w:rPr>
                      <w:szCs w:val="21"/>
                    </w:rPr>
                  </w:pPr>
                  <w:r>
                    <w:rPr>
                      <w:rFonts w:hint="eastAsia"/>
                      <w:szCs w:val="21"/>
                    </w:rPr>
                    <w:t>4</w:t>
                  </w:r>
                </w:p>
              </w:tc>
              <w:tc>
                <w:tcPr>
                  <w:tcW w:w="693" w:type="pct"/>
                  <w:vAlign w:val="center"/>
                </w:tcPr>
                <w:p>
                  <w:pPr>
                    <w:adjustRightInd w:val="0"/>
                    <w:snapToGrid w:val="0"/>
                    <w:jc w:val="center"/>
                    <w:rPr>
                      <w:szCs w:val="21"/>
                    </w:rPr>
                  </w:pPr>
                  <w:r>
                    <w:rPr>
                      <w:szCs w:val="21"/>
                    </w:rPr>
                    <w:t>80</w:t>
                  </w:r>
                </w:p>
              </w:tc>
              <w:tc>
                <w:tcPr>
                  <w:tcW w:w="675" w:type="pct"/>
                  <w:vAlign w:val="center"/>
                </w:tcPr>
                <w:p>
                  <w:pPr>
                    <w:adjustRightInd w:val="0"/>
                    <w:snapToGrid w:val="0"/>
                    <w:jc w:val="center"/>
                    <w:rPr>
                      <w:szCs w:val="21"/>
                    </w:rPr>
                  </w:pPr>
                  <w:r>
                    <w:rPr>
                      <w:rFonts w:hint="eastAsia"/>
                      <w:szCs w:val="21"/>
                    </w:rPr>
                    <w:t>10</w:t>
                  </w:r>
                </w:p>
              </w:tc>
              <w:tc>
                <w:tcPr>
                  <w:tcW w:w="574" w:type="pct"/>
                  <w:vMerge w:val="continue"/>
                  <w:vAlign w:val="center"/>
                </w:tcPr>
                <w:p>
                  <w:pPr>
                    <w:widowControl/>
                    <w:jc w:val="center"/>
                    <w:rPr>
                      <w:szCs w:val="21"/>
                    </w:rPr>
                  </w:pPr>
                </w:p>
              </w:tc>
              <w:tc>
                <w:tcPr>
                  <w:tcW w:w="617" w:type="pct"/>
                  <w:vMerge w:val="continue"/>
                  <w:vAlign w:val="center"/>
                </w:tcPr>
                <w:p>
                  <w:pPr>
                    <w:widowControl/>
                    <w:jc w:val="center"/>
                    <w:rPr>
                      <w:szCs w:val="21"/>
                    </w:rPr>
                  </w:pPr>
                </w:p>
              </w:tc>
              <w:tc>
                <w:tcPr>
                  <w:tcW w:w="651" w:type="pct"/>
                  <w:vMerge w:val="continue"/>
                  <w:vAlign w:val="center"/>
                </w:tcPr>
                <w:p>
                  <w:pPr>
                    <w:widowControl/>
                    <w:jc w:val="center"/>
                    <w:rPr>
                      <w:szCs w:val="21"/>
                    </w:rPr>
                  </w:pPr>
                </w:p>
              </w:tc>
            </w:tr>
          </w:tbl>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jc w:val="center"/>
              <w:rPr>
                <w:sz w:val="24"/>
                <w:szCs w:val="24"/>
              </w:rPr>
            </w:pPr>
          </w:p>
        </w:tc>
      </w:tr>
    </w:tbl>
    <w:p>
      <w:pPr>
        <w:pStyle w:val="3"/>
        <w:rPr>
          <w:rFonts w:eastAsia="宋体"/>
        </w:rPr>
      </w:pPr>
      <w:r>
        <w:rPr>
          <w:rFonts w:hint="eastAsia" w:eastAsia="宋体"/>
        </w:rPr>
        <w:t>六、</w:t>
      </w:r>
      <w:r>
        <w:rPr>
          <w:rFonts w:eastAsia="宋体"/>
        </w:rPr>
        <w:t>项目主要污染物产生及预计排放情况</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711"/>
        <w:gridCol w:w="1282"/>
        <w:gridCol w:w="1270"/>
        <w:gridCol w:w="2279"/>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64" w:type="pct"/>
            <w:tcBorders>
              <w:tl2br w:val="single" w:color="auto" w:sz="4" w:space="0"/>
            </w:tcBorders>
          </w:tcPr>
          <w:p>
            <w:pPr>
              <w:rPr>
                <w:b/>
                <w:sz w:val="24"/>
                <w:szCs w:val="24"/>
              </w:rPr>
            </w:pPr>
            <w:r>
              <w:rPr>
                <w:b/>
                <w:sz w:val="24"/>
                <w:szCs w:val="24"/>
              </w:rPr>
              <w:t>内容类型</w:t>
            </w:r>
          </w:p>
        </w:tc>
        <w:tc>
          <w:tcPr>
            <w:tcW w:w="1169" w:type="pct"/>
            <w:gridSpan w:val="2"/>
            <w:vAlign w:val="center"/>
          </w:tcPr>
          <w:p>
            <w:pPr>
              <w:jc w:val="center"/>
              <w:rPr>
                <w:b/>
                <w:sz w:val="24"/>
                <w:szCs w:val="24"/>
              </w:rPr>
            </w:pPr>
            <w:r>
              <w:rPr>
                <w:b/>
                <w:sz w:val="24"/>
                <w:szCs w:val="24"/>
              </w:rPr>
              <w:t>排放源</w:t>
            </w:r>
            <w:r>
              <w:rPr>
                <w:rFonts w:hint="eastAsia"/>
                <w:b/>
                <w:sz w:val="24"/>
                <w:szCs w:val="24"/>
              </w:rPr>
              <w:t>（</w:t>
            </w:r>
            <w:r>
              <w:rPr>
                <w:b/>
                <w:sz w:val="24"/>
                <w:szCs w:val="24"/>
              </w:rPr>
              <w:t>编号</w:t>
            </w:r>
            <w:r>
              <w:rPr>
                <w:rFonts w:hint="eastAsia"/>
                <w:b/>
                <w:sz w:val="24"/>
                <w:szCs w:val="24"/>
              </w:rPr>
              <w:t>）</w:t>
            </w:r>
          </w:p>
        </w:tc>
        <w:tc>
          <w:tcPr>
            <w:tcW w:w="745" w:type="pct"/>
            <w:vAlign w:val="center"/>
          </w:tcPr>
          <w:p>
            <w:pPr>
              <w:jc w:val="center"/>
              <w:rPr>
                <w:b/>
                <w:sz w:val="24"/>
                <w:szCs w:val="24"/>
              </w:rPr>
            </w:pPr>
            <w:r>
              <w:rPr>
                <w:b/>
                <w:sz w:val="24"/>
                <w:szCs w:val="24"/>
              </w:rPr>
              <w:t>污染物名称</w:t>
            </w:r>
          </w:p>
        </w:tc>
        <w:tc>
          <w:tcPr>
            <w:tcW w:w="1337" w:type="pct"/>
            <w:vAlign w:val="center"/>
          </w:tcPr>
          <w:p>
            <w:pPr>
              <w:jc w:val="center"/>
              <w:rPr>
                <w:b/>
                <w:sz w:val="24"/>
                <w:szCs w:val="24"/>
              </w:rPr>
            </w:pPr>
            <w:r>
              <w:rPr>
                <w:b/>
                <w:sz w:val="24"/>
                <w:szCs w:val="24"/>
              </w:rPr>
              <w:t>处理前产生浓度及产生量（单位）</w:t>
            </w:r>
          </w:p>
        </w:tc>
        <w:tc>
          <w:tcPr>
            <w:tcW w:w="1183" w:type="pct"/>
            <w:vAlign w:val="center"/>
          </w:tcPr>
          <w:p>
            <w:pPr>
              <w:jc w:val="center"/>
              <w:rPr>
                <w:b/>
                <w:sz w:val="24"/>
                <w:szCs w:val="24"/>
              </w:rPr>
            </w:pPr>
            <w:r>
              <w:rPr>
                <w:b/>
                <w:sz w:val="24"/>
                <w:szCs w:val="24"/>
              </w:rPr>
              <w:t>排放浓度及排放量</w:t>
            </w:r>
            <w:r>
              <w:rPr>
                <w:b/>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trPr>
        <w:tc>
          <w:tcPr>
            <w:tcW w:w="564" w:type="pct"/>
            <w:vMerge w:val="restart"/>
            <w:vAlign w:val="center"/>
          </w:tcPr>
          <w:p>
            <w:pPr>
              <w:jc w:val="center"/>
              <w:rPr>
                <w:sz w:val="24"/>
                <w:szCs w:val="24"/>
              </w:rPr>
            </w:pPr>
            <w:r>
              <w:rPr>
                <w:sz w:val="24"/>
                <w:szCs w:val="24"/>
              </w:rPr>
              <w:t>大气污染物</w:t>
            </w:r>
          </w:p>
        </w:tc>
        <w:tc>
          <w:tcPr>
            <w:tcW w:w="417" w:type="pct"/>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有组织</w:t>
            </w:r>
          </w:p>
        </w:tc>
        <w:tc>
          <w:tcPr>
            <w:tcW w:w="752" w:type="pct"/>
            <w:vAlign w:val="center"/>
          </w:tcPr>
          <w:p>
            <w:pPr>
              <w:widowControl/>
              <w:jc w:val="center"/>
              <w:rPr>
                <w:rFonts w:ascii="Times New Roman" w:hAnsi="Times New Roman" w:eastAsia="宋体" w:cs="Times New Roman"/>
                <w:kern w:val="2"/>
                <w:sz w:val="24"/>
                <w:szCs w:val="24"/>
                <w:lang w:val="en-US" w:eastAsia="zh-CN" w:bidi="ar-SA"/>
              </w:rPr>
            </w:pPr>
            <w:r>
              <w:rPr>
                <w:rFonts w:hint="eastAsia"/>
                <w:sz w:val="24"/>
                <w:szCs w:val="24"/>
                <w:lang w:val="en-US" w:eastAsia="zh-CN"/>
              </w:rPr>
              <w:t>1</w:t>
            </w:r>
            <w:r>
              <w:rPr>
                <w:sz w:val="24"/>
                <w:szCs w:val="24"/>
              </w:rPr>
              <w:t>#</w:t>
            </w:r>
            <w:r>
              <w:rPr>
                <w:rFonts w:hint="eastAsia"/>
                <w:sz w:val="24"/>
                <w:szCs w:val="24"/>
              </w:rPr>
              <w:t>排气筒</w:t>
            </w:r>
          </w:p>
        </w:tc>
        <w:tc>
          <w:tcPr>
            <w:tcW w:w="745" w:type="pct"/>
            <w:vAlign w:val="center"/>
          </w:tcPr>
          <w:p>
            <w:pPr>
              <w:widowControl/>
              <w:jc w:val="center"/>
              <w:rPr>
                <w:rFonts w:ascii="Times New Roman" w:hAnsi="Times New Roman" w:eastAsia="宋体" w:cs="Times New Roman"/>
                <w:kern w:val="2"/>
                <w:sz w:val="24"/>
                <w:szCs w:val="24"/>
                <w:lang w:val="en-US" w:eastAsia="zh-CN" w:bidi="ar-SA"/>
              </w:rPr>
            </w:pPr>
            <w:r>
              <w:rPr>
                <w:rFonts w:hint="eastAsia"/>
                <w:sz w:val="24"/>
                <w:szCs w:val="24"/>
              </w:rPr>
              <w:t>粉尘</w:t>
            </w:r>
          </w:p>
        </w:tc>
        <w:tc>
          <w:tcPr>
            <w:tcW w:w="1337" w:type="pct"/>
            <w:vAlign w:val="center"/>
          </w:tcPr>
          <w:p>
            <w:pPr>
              <w:adjustRightInd w:val="0"/>
              <w:snapToGrid w:val="0"/>
              <w:jc w:val="center"/>
              <w:rPr>
                <w:rFonts w:ascii="Times New Roman" w:hAnsi="Times New Roman" w:eastAsia="宋体" w:cs="Times New Roman"/>
                <w:bCs/>
                <w:kern w:val="2"/>
                <w:sz w:val="24"/>
                <w:szCs w:val="24"/>
                <w:lang w:val="en-US" w:eastAsia="zh-CN" w:bidi="ar-SA"/>
              </w:rPr>
            </w:pPr>
            <w:r>
              <w:rPr>
                <w:rFonts w:hint="eastAsia"/>
                <w:bCs/>
                <w:sz w:val="24"/>
                <w:szCs w:val="24"/>
              </w:rPr>
              <w:t>241.071</w:t>
            </w:r>
            <w:r>
              <w:rPr>
                <w:bCs/>
                <w:sz w:val="24"/>
                <w:szCs w:val="24"/>
              </w:rPr>
              <w:t>mg/m</w:t>
            </w:r>
            <w:r>
              <w:rPr>
                <w:bCs/>
                <w:sz w:val="24"/>
                <w:szCs w:val="24"/>
                <w:vertAlign w:val="superscript"/>
              </w:rPr>
              <w:t>3</w:t>
            </w:r>
            <w:r>
              <w:rPr>
                <w:rFonts w:hint="eastAsia"/>
                <w:bCs/>
                <w:sz w:val="24"/>
                <w:szCs w:val="24"/>
              </w:rPr>
              <w:t>，2</w:t>
            </w:r>
            <w:r>
              <w:rPr>
                <w:bCs/>
                <w:sz w:val="24"/>
                <w:szCs w:val="24"/>
              </w:rPr>
              <w:t>.</w:t>
            </w:r>
            <w:r>
              <w:rPr>
                <w:rFonts w:hint="eastAsia"/>
                <w:bCs/>
                <w:sz w:val="24"/>
                <w:szCs w:val="24"/>
              </w:rPr>
              <w:t>7</w:t>
            </w:r>
            <w:r>
              <w:rPr>
                <w:bCs/>
                <w:sz w:val="24"/>
                <w:szCs w:val="24"/>
              </w:rPr>
              <w:t>t/a</w:t>
            </w:r>
          </w:p>
        </w:tc>
        <w:tc>
          <w:tcPr>
            <w:tcW w:w="1183" w:type="pct"/>
            <w:vAlign w:val="center"/>
          </w:tcPr>
          <w:p>
            <w:pPr>
              <w:widowControl/>
              <w:jc w:val="center"/>
              <w:rPr>
                <w:rFonts w:ascii="Times New Roman" w:hAnsi="Times New Roman" w:eastAsia="宋体" w:cs="Times New Roman"/>
                <w:bCs/>
                <w:kern w:val="2"/>
                <w:sz w:val="24"/>
                <w:szCs w:val="24"/>
                <w:vertAlign w:val="superscript"/>
                <w:lang w:val="en-US" w:eastAsia="zh-CN" w:bidi="ar-SA"/>
              </w:rPr>
            </w:pPr>
            <w:r>
              <w:rPr>
                <w:rFonts w:hint="eastAsia"/>
                <w:bCs/>
                <w:sz w:val="24"/>
                <w:szCs w:val="24"/>
              </w:rPr>
              <w:t>2</w:t>
            </w:r>
            <w:r>
              <w:rPr>
                <w:bCs/>
                <w:sz w:val="24"/>
                <w:szCs w:val="24"/>
              </w:rPr>
              <w:t>.</w:t>
            </w:r>
            <w:r>
              <w:rPr>
                <w:rFonts w:hint="eastAsia"/>
                <w:bCs/>
                <w:sz w:val="24"/>
                <w:szCs w:val="24"/>
              </w:rPr>
              <w:t>4</w:t>
            </w:r>
            <w:r>
              <w:rPr>
                <w:bCs/>
                <w:sz w:val="24"/>
                <w:szCs w:val="24"/>
              </w:rPr>
              <w:t>1</w:t>
            </w:r>
            <w:r>
              <w:rPr>
                <w:rFonts w:hint="eastAsia"/>
                <w:bCs/>
                <w:sz w:val="24"/>
                <w:szCs w:val="24"/>
              </w:rPr>
              <w:t>1</w:t>
            </w:r>
            <w:r>
              <w:rPr>
                <w:bCs/>
                <w:sz w:val="24"/>
                <w:szCs w:val="24"/>
              </w:rPr>
              <w:t>mg/m</w:t>
            </w:r>
            <w:r>
              <w:rPr>
                <w:bCs/>
                <w:sz w:val="24"/>
                <w:szCs w:val="24"/>
                <w:vertAlign w:val="superscript"/>
              </w:rPr>
              <w:t>3</w:t>
            </w:r>
            <w:r>
              <w:rPr>
                <w:rFonts w:hint="eastAsia"/>
                <w:bCs/>
                <w:sz w:val="24"/>
                <w:szCs w:val="24"/>
              </w:rPr>
              <w:t>，</w:t>
            </w:r>
            <w:r>
              <w:rPr>
                <w:bCs/>
                <w:sz w:val="24"/>
                <w:szCs w:val="24"/>
              </w:rPr>
              <w:t>0.</w:t>
            </w:r>
            <w:r>
              <w:rPr>
                <w:rFonts w:hint="eastAsia"/>
                <w:bCs/>
                <w:sz w:val="24"/>
                <w:szCs w:val="24"/>
              </w:rPr>
              <w:t>027</w:t>
            </w:r>
            <w:r>
              <w:rPr>
                <w:bCs/>
                <w:sz w:val="24"/>
                <w:szCs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564" w:type="pct"/>
            <w:vMerge w:val="continue"/>
            <w:vAlign w:val="center"/>
          </w:tcPr>
          <w:p>
            <w:pPr>
              <w:jc w:val="center"/>
              <w:rPr>
                <w:sz w:val="24"/>
                <w:szCs w:val="24"/>
              </w:rPr>
            </w:pPr>
          </w:p>
        </w:tc>
        <w:tc>
          <w:tcPr>
            <w:tcW w:w="417" w:type="pct"/>
            <w:vAlign w:val="center"/>
          </w:tcPr>
          <w:p>
            <w:pPr>
              <w:jc w:val="center"/>
              <w:rPr>
                <w:sz w:val="24"/>
                <w:szCs w:val="24"/>
              </w:rPr>
            </w:pPr>
            <w:r>
              <w:rPr>
                <w:rFonts w:hint="eastAsia"/>
                <w:sz w:val="24"/>
                <w:szCs w:val="24"/>
              </w:rPr>
              <w:t>无组织</w:t>
            </w:r>
          </w:p>
        </w:tc>
        <w:tc>
          <w:tcPr>
            <w:tcW w:w="752" w:type="pct"/>
            <w:vAlign w:val="center"/>
          </w:tcPr>
          <w:p>
            <w:pPr>
              <w:adjustRightInd w:val="0"/>
              <w:snapToGrid w:val="0"/>
              <w:jc w:val="center"/>
              <w:rPr>
                <w:sz w:val="24"/>
                <w:szCs w:val="24"/>
              </w:rPr>
            </w:pPr>
            <w:r>
              <w:rPr>
                <w:rFonts w:hint="eastAsia"/>
                <w:sz w:val="24"/>
                <w:szCs w:val="24"/>
                <w:lang w:eastAsia="zh-CN"/>
              </w:rPr>
              <w:t>工作</w:t>
            </w:r>
            <w:r>
              <w:rPr>
                <w:rFonts w:hint="eastAsia"/>
                <w:sz w:val="24"/>
                <w:szCs w:val="24"/>
              </w:rPr>
              <w:t>车间</w:t>
            </w:r>
          </w:p>
        </w:tc>
        <w:tc>
          <w:tcPr>
            <w:tcW w:w="745" w:type="pct"/>
            <w:vAlign w:val="center"/>
          </w:tcPr>
          <w:p>
            <w:pPr>
              <w:adjustRightInd w:val="0"/>
              <w:snapToGrid w:val="0"/>
              <w:jc w:val="center"/>
              <w:rPr>
                <w:sz w:val="24"/>
                <w:szCs w:val="24"/>
              </w:rPr>
            </w:pPr>
            <w:r>
              <w:rPr>
                <w:rFonts w:hint="eastAsia"/>
                <w:sz w:val="24"/>
                <w:szCs w:val="24"/>
              </w:rPr>
              <w:t>粉尘</w:t>
            </w:r>
          </w:p>
        </w:tc>
        <w:tc>
          <w:tcPr>
            <w:tcW w:w="1337" w:type="pct"/>
            <w:vAlign w:val="center"/>
          </w:tcPr>
          <w:p>
            <w:pPr>
              <w:adjustRightInd w:val="0"/>
              <w:snapToGrid w:val="0"/>
              <w:jc w:val="center"/>
              <w:rPr>
                <w:bCs/>
                <w:sz w:val="24"/>
                <w:szCs w:val="24"/>
              </w:rPr>
            </w:pPr>
            <w:r>
              <w:rPr>
                <w:rFonts w:hint="eastAsia"/>
                <w:bCs/>
                <w:sz w:val="24"/>
                <w:szCs w:val="24"/>
              </w:rPr>
              <w:t>—，</w:t>
            </w:r>
            <w:r>
              <w:rPr>
                <w:bCs/>
                <w:sz w:val="24"/>
                <w:szCs w:val="24"/>
              </w:rPr>
              <w:t>0.</w:t>
            </w:r>
            <w:r>
              <w:rPr>
                <w:rFonts w:hint="eastAsia"/>
                <w:bCs/>
                <w:sz w:val="24"/>
                <w:szCs w:val="24"/>
                <w:lang w:val="en-US" w:eastAsia="zh-CN"/>
              </w:rPr>
              <w:t>3</w:t>
            </w:r>
            <w:r>
              <w:rPr>
                <w:rFonts w:hint="eastAsia"/>
                <w:bCs/>
                <w:sz w:val="24"/>
                <w:szCs w:val="24"/>
              </w:rPr>
              <w:t>3</w:t>
            </w:r>
            <w:r>
              <w:rPr>
                <w:bCs/>
                <w:sz w:val="24"/>
                <w:szCs w:val="24"/>
              </w:rPr>
              <w:t>t/a</w:t>
            </w:r>
          </w:p>
        </w:tc>
        <w:tc>
          <w:tcPr>
            <w:tcW w:w="1183" w:type="pct"/>
            <w:vAlign w:val="center"/>
          </w:tcPr>
          <w:p>
            <w:pPr>
              <w:widowControl/>
              <w:jc w:val="center"/>
              <w:rPr>
                <w:bCs/>
                <w:sz w:val="24"/>
                <w:szCs w:val="24"/>
              </w:rPr>
            </w:pPr>
            <w:r>
              <w:rPr>
                <w:rFonts w:hint="eastAsia"/>
                <w:bCs/>
                <w:sz w:val="24"/>
                <w:szCs w:val="24"/>
              </w:rPr>
              <w:t>—，</w:t>
            </w:r>
            <w:r>
              <w:rPr>
                <w:bCs/>
                <w:sz w:val="24"/>
                <w:szCs w:val="24"/>
              </w:rPr>
              <w:t>0.</w:t>
            </w:r>
            <w:r>
              <w:rPr>
                <w:rFonts w:hint="eastAsia"/>
                <w:bCs/>
                <w:sz w:val="24"/>
                <w:szCs w:val="24"/>
                <w:lang w:val="en-US" w:eastAsia="zh-CN"/>
              </w:rPr>
              <w:t>3</w:t>
            </w:r>
            <w:r>
              <w:rPr>
                <w:rFonts w:hint="eastAsia"/>
                <w:bCs/>
                <w:sz w:val="24"/>
                <w:szCs w:val="24"/>
              </w:rPr>
              <w:t>3</w:t>
            </w:r>
            <w:r>
              <w:rPr>
                <w:bCs/>
                <w:sz w:val="24"/>
                <w:szCs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564" w:type="pct"/>
            <w:vMerge w:val="restart"/>
            <w:vAlign w:val="center"/>
          </w:tcPr>
          <w:p>
            <w:pPr>
              <w:jc w:val="center"/>
              <w:rPr>
                <w:sz w:val="24"/>
                <w:szCs w:val="24"/>
              </w:rPr>
            </w:pPr>
            <w:r>
              <w:rPr>
                <w:sz w:val="24"/>
                <w:szCs w:val="24"/>
              </w:rPr>
              <w:t>水污染物</w:t>
            </w:r>
          </w:p>
        </w:tc>
        <w:tc>
          <w:tcPr>
            <w:tcW w:w="1169" w:type="pct"/>
            <w:gridSpan w:val="2"/>
            <w:vMerge w:val="restart"/>
            <w:vAlign w:val="center"/>
          </w:tcPr>
          <w:p>
            <w:pPr>
              <w:jc w:val="center"/>
              <w:rPr>
                <w:sz w:val="24"/>
                <w:szCs w:val="24"/>
              </w:rPr>
            </w:pPr>
            <w:r>
              <w:rPr>
                <w:sz w:val="24"/>
                <w:szCs w:val="24"/>
              </w:rPr>
              <w:t>生活污水</w:t>
            </w:r>
            <w:r>
              <w:rPr>
                <w:rFonts w:hint="eastAsia"/>
                <w:sz w:val="24"/>
                <w:szCs w:val="24"/>
              </w:rPr>
              <w:t>56</w:t>
            </w:r>
            <w:r>
              <w:rPr>
                <w:sz w:val="24"/>
                <w:szCs w:val="24"/>
              </w:rPr>
              <w:t>t/a</w:t>
            </w:r>
          </w:p>
        </w:tc>
        <w:tc>
          <w:tcPr>
            <w:tcW w:w="745" w:type="pct"/>
            <w:tcBorders>
              <w:bottom w:val="single" w:color="auto" w:sz="4" w:space="0"/>
            </w:tcBorders>
            <w:vAlign w:val="center"/>
          </w:tcPr>
          <w:p>
            <w:pPr>
              <w:adjustRightInd w:val="0"/>
              <w:snapToGrid w:val="0"/>
              <w:jc w:val="center"/>
              <w:rPr>
                <w:sz w:val="24"/>
                <w:szCs w:val="24"/>
              </w:rPr>
            </w:pPr>
            <w:r>
              <w:rPr>
                <w:sz w:val="24"/>
                <w:szCs w:val="24"/>
              </w:rPr>
              <w:t>COD</w:t>
            </w:r>
          </w:p>
        </w:tc>
        <w:tc>
          <w:tcPr>
            <w:tcW w:w="1337" w:type="pct"/>
            <w:tcBorders>
              <w:bottom w:val="single" w:color="auto" w:sz="4" w:space="0"/>
            </w:tcBorders>
            <w:vAlign w:val="center"/>
          </w:tcPr>
          <w:p>
            <w:pPr>
              <w:jc w:val="center"/>
              <w:rPr>
                <w:sz w:val="24"/>
                <w:szCs w:val="24"/>
              </w:rPr>
            </w:pPr>
            <w:r>
              <w:rPr>
                <w:sz w:val="24"/>
                <w:szCs w:val="24"/>
              </w:rPr>
              <w:t>3</w:t>
            </w:r>
            <w:r>
              <w:rPr>
                <w:rFonts w:hint="eastAsia"/>
                <w:sz w:val="24"/>
                <w:szCs w:val="24"/>
              </w:rPr>
              <w:t>5</w:t>
            </w:r>
            <w:r>
              <w:rPr>
                <w:sz w:val="24"/>
                <w:szCs w:val="24"/>
              </w:rPr>
              <w:t>0mg/</w:t>
            </w:r>
            <w:r>
              <w:rPr>
                <w:rFonts w:hint="eastAsia"/>
                <w:sz w:val="24"/>
                <w:szCs w:val="24"/>
              </w:rPr>
              <w:t>L</w:t>
            </w:r>
            <w:r>
              <w:rPr>
                <w:sz w:val="24"/>
                <w:szCs w:val="24"/>
              </w:rPr>
              <w:t>，0.</w:t>
            </w:r>
            <w:r>
              <w:rPr>
                <w:rFonts w:hint="eastAsia"/>
                <w:sz w:val="24"/>
                <w:szCs w:val="24"/>
              </w:rPr>
              <w:t>0196</w:t>
            </w:r>
            <w:r>
              <w:rPr>
                <w:sz w:val="24"/>
                <w:szCs w:val="24"/>
              </w:rPr>
              <w:t>t/a</w:t>
            </w:r>
          </w:p>
        </w:tc>
        <w:tc>
          <w:tcPr>
            <w:tcW w:w="1183" w:type="pct"/>
            <w:tcBorders>
              <w:bottom w:val="single" w:color="auto" w:sz="4" w:space="0"/>
            </w:tcBorders>
            <w:vAlign w:val="center"/>
          </w:tcPr>
          <w:p>
            <w:pPr>
              <w:adjustRightInd w:val="0"/>
              <w:snapToGrid w:val="0"/>
              <w:jc w:val="cente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564" w:type="pct"/>
            <w:vMerge w:val="continue"/>
            <w:vAlign w:val="center"/>
          </w:tcPr>
          <w:p>
            <w:pPr>
              <w:jc w:val="center"/>
              <w:rPr>
                <w:sz w:val="24"/>
                <w:szCs w:val="24"/>
              </w:rPr>
            </w:pPr>
          </w:p>
        </w:tc>
        <w:tc>
          <w:tcPr>
            <w:tcW w:w="1169" w:type="pct"/>
            <w:gridSpan w:val="2"/>
            <w:vMerge w:val="continue"/>
            <w:vAlign w:val="center"/>
          </w:tcPr>
          <w:p>
            <w:pPr>
              <w:jc w:val="center"/>
              <w:rPr>
                <w:sz w:val="24"/>
                <w:szCs w:val="24"/>
              </w:rPr>
            </w:pPr>
          </w:p>
        </w:tc>
        <w:tc>
          <w:tcPr>
            <w:tcW w:w="745" w:type="pct"/>
            <w:tcBorders>
              <w:bottom w:val="single" w:color="auto" w:sz="4" w:space="0"/>
            </w:tcBorders>
            <w:vAlign w:val="center"/>
          </w:tcPr>
          <w:p>
            <w:pPr>
              <w:adjustRightInd w:val="0"/>
              <w:snapToGrid w:val="0"/>
              <w:jc w:val="center"/>
              <w:rPr>
                <w:sz w:val="24"/>
                <w:szCs w:val="24"/>
              </w:rPr>
            </w:pPr>
            <w:r>
              <w:rPr>
                <w:sz w:val="24"/>
                <w:szCs w:val="24"/>
              </w:rPr>
              <w:t>SS</w:t>
            </w:r>
          </w:p>
        </w:tc>
        <w:tc>
          <w:tcPr>
            <w:tcW w:w="1337" w:type="pct"/>
            <w:tcBorders>
              <w:bottom w:val="single" w:color="auto" w:sz="4" w:space="0"/>
            </w:tcBorders>
            <w:vAlign w:val="center"/>
          </w:tcPr>
          <w:p>
            <w:pPr>
              <w:jc w:val="center"/>
              <w:rPr>
                <w:sz w:val="24"/>
                <w:szCs w:val="24"/>
              </w:rPr>
            </w:pPr>
            <w:r>
              <w:rPr>
                <w:sz w:val="24"/>
                <w:szCs w:val="24"/>
              </w:rPr>
              <w:t>2</w:t>
            </w:r>
            <w:r>
              <w:rPr>
                <w:rFonts w:hint="eastAsia"/>
                <w:sz w:val="24"/>
                <w:szCs w:val="24"/>
              </w:rPr>
              <w:t>5</w:t>
            </w:r>
            <w:r>
              <w:rPr>
                <w:sz w:val="24"/>
                <w:szCs w:val="24"/>
              </w:rPr>
              <w:t>0mg/</w:t>
            </w:r>
            <w:r>
              <w:rPr>
                <w:rFonts w:hint="eastAsia"/>
                <w:sz w:val="24"/>
                <w:szCs w:val="24"/>
              </w:rPr>
              <w:t>L</w:t>
            </w:r>
            <w:r>
              <w:rPr>
                <w:sz w:val="24"/>
                <w:szCs w:val="24"/>
              </w:rPr>
              <w:t>，</w:t>
            </w:r>
            <w:r>
              <w:rPr>
                <w:rFonts w:hint="eastAsia"/>
                <w:sz w:val="24"/>
                <w:szCs w:val="24"/>
              </w:rPr>
              <w:t>0.014</w:t>
            </w:r>
            <w:r>
              <w:rPr>
                <w:sz w:val="24"/>
                <w:szCs w:val="24"/>
              </w:rPr>
              <w:t>t/a</w:t>
            </w:r>
          </w:p>
        </w:tc>
        <w:tc>
          <w:tcPr>
            <w:tcW w:w="1183" w:type="pct"/>
            <w:tcBorders>
              <w:bottom w:val="single" w:color="auto" w:sz="4" w:space="0"/>
            </w:tcBorders>
            <w:vAlign w:val="center"/>
          </w:tcPr>
          <w:p>
            <w:pPr>
              <w:adjustRightInd w:val="0"/>
              <w:snapToGrid w:val="0"/>
              <w:jc w:val="center"/>
              <w:rPr>
                <w:szCs w:val="21"/>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564" w:type="pct"/>
            <w:vMerge w:val="continue"/>
            <w:vAlign w:val="center"/>
          </w:tcPr>
          <w:p>
            <w:pPr>
              <w:jc w:val="center"/>
              <w:rPr>
                <w:sz w:val="24"/>
                <w:szCs w:val="24"/>
              </w:rPr>
            </w:pPr>
          </w:p>
        </w:tc>
        <w:tc>
          <w:tcPr>
            <w:tcW w:w="1169" w:type="pct"/>
            <w:gridSpan w:val="2"/>
            <w:vMerge w:val="continue"/>
            <w:vAlign w:val="center"/>
          </w:tcPr>
          <w:p>
            <w:pPr>
              <w:jc w:val="center"/>
              <w:rPr>
                <w:sz w:val="24"/>
                <w:szCs w:val="24"/>
              </w:rPr>
            </w:pPr>
          </w:p>
        </w:tc>
        <w:tc>
          <w:tcPr>
            <w:tcW w:w="745" w:type="pct"/>
            <w:tcBorders>
              <w:bottom w:val="single" w:color="auto" w:sz="4" w:space="0"/>
            </w:tcBorders>
            <w:vAlign w:val="center"/>
          </w:tcPr>
          <w:p>
            <w:pPr>
              <w:adjustRightInd w:val="0"/>
              <w:snapToGrid w:val="0"/>
              <w:jc w:val="center"/>
              <w:rPr>
                <w:sz w:val="24"/>
                <w:szCs w:val="24"/>
              </w:rPr>
            </w:pPr>
            <w:r>
              <w:rPr>
                <w:sz w:val="24"/>
                <w:szCs w:val="24"/>
              </w:rPr>
              <w:t>NH</w:t>
            </w:r>
            <w:r>
              <w:rPr>
                <w:sz w:val="24"/>
                <w:szCs w:val="24"/>
                <w:vertAlign w:val="subscript"/>
              </w:rPr>
              <w:t>3</w:t>
            </w:r>
            <w:r>
              <w:rPr>
                <w:sz w:val="24"/>
                <w:szCs w:val="24"/>
              </w:rPr>
              <w:t>-N</w:t>
            </w:r>
          </w:p>
        </w:tc>
        <w:tc>
          <w:tcPr>
            <w:tcW w:w="1337" w:type="pct"/>
            <w:tcBorders>
              <w:bottom w:val="single" w:color="auto" w:sz="4" w:space="0"/>
            </w:tcBorders>
            <w:vAlign w:val="center"/>
          </w:tcPr>
          <w:p>
            <w:pPr>
              <w:jc w:val="center"/>
              <w:rPr>
                <w:sz w:val="24"/>
                <w:szCs w:val="24"/>
              </w:rPr>
            </w:pPr>
            <w:r>
              <w:rPr>
                <w:rFonts w:hint="eastAsia"/>
                <w:sz w:val="24"/>
                <w:szCs w:val="24"/>
              </w:rPr>
              <w:t>3</w:t>
            </w:r>
            <w:r>
              <w:rPr>
                <w:sz w:val="24"/>
                <w:szCs w:val="24"/>
              </w:rPr>
              <w:t>0mg/</w:t>
            </w:r>
            <w:r>
              <w:rPr>
                <w:rFonts w:hint="eastAsia"/>
                <w:sz w:val="24"/>
                <w:szCs w:val="24"/>
              </w:rPr>
              <w:t>L</w:t>
            </w:r>
            <w:r>
              <w:rPr>
                <w:sz w:val="24"/>
                <w:szCs w:val="24"/>
              </w:rPr>
              <w:t>，</w:t>
            </w:r>
            <w:r>
              <w:rPr>
                <w:rFonts w:hint="eastAsia"/>
                <w:sz w:val="24"/>
                <w:szCs w:val="24"/>
              </w:rPr>
              <w:t>0.00168</w:t>
            </w:r>
            <w:r>
              <w:rPr>
                <w:sz w:val="24"/>
                <w:szCs w:val="24"/>
              </w:rPr>
              <w:t>t/a</w:t>
            </w:r>
          </w:p>
        </w:tc>
        <w:tc>
          <w:tcPr>
            <w:tcW w:w="1183" w:type="pct"/>
            <w:tcBorders>
              <w:bottom w:val="single" w:color="auto" w:sz="4" w:space="0"/>
            </w:tcBorders>
            <w:vAlign w:val="center"/>
          </w:tcPr>
          <w:p>
            <w:pPr>
              <w:adjustRightInd w:val="0"/>
              <w:snapToGrid w:val="0"/>
              <w:jc w:val="center"/>
              <w:rPr>
                <w:szCs w:val="21"/>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564" w:type="pct"/>
            <w:vMerge w:val="continue"/>
            <w:vAlign w:val="center"/>
          </w:tcPr>
          <w:p>
            <w:pPr>
              <w:jc w:val="center"/>
              <w:rPr>
                <w:sz w:val="24"/>
                <w:szCs w:val="24"/>
              </w:rPr>
            </w:pPr>
          </w:p>
        </w:tc>
        <w:tc>
          <w:tcPr>
            <w:tcW w:w="1169" w:type="pct"/>
            <w:gridSpan w:val="2"/>
            <w:vMerge w:val="continue"/>
            <w:vAlign w:val="center"/>
          </w:tcPr>
          <w:p>
            <w:pPr>
              <w:jc w:val="center"/>
              <w:rPr>
                <w:sz w:val="24"/>
                <w:szCs w:val="24"/>
              </w:rPr>
            </w:pPr>
          </w:p>
        </w:tc>
        <w:tc>
          <w:tcPr>
            <w:tcW w:w="745" w:type="pct"/>
            <w:tcBorders>
              <w:bottom w:val="single" w:color="auto" w:sz="4" w:space="0"/>
            </w:tcBorders>
            <w:vAlign w:val="center"/>
          </w:tcPr>
          <w:p>
            <w:pPr>
              <w:adjustRightInd w:val="0"/>
              <w:snapToGrid w:val="0"/>
              <w:jc w:val="center"/>
              <w:rPr>
                <w:sz w:val="24"/>
                <w:szCs w:val="24"/>
              </w:rPr>
            </w:pPr>
            <w:r>
              <w:rPr>
                <w:sz w:val="24"/>
                <w:szCs w:val="24"/>
              </w:rPr>
              <w:t>TP</w:t>
            </w:r>
          </w:p>
        </w:tc>
        <w:tc>
          <w:tcPr>
            <w:tcW w:w="1337" w:type="pct"/>
            <w:tcBorders>
              <w:bottom w:val="single" w:color="auto" w:sz="4" w:space="0"/>
            </w:tcBorders>
            <w:vAlign w:val="center"/>
          </w:tcPr>
          <w:p>
            <w:pPr>
              <w:jc w:val="center"/>
              <w:rPr>
                <w:sz w:val="24"/>
                <w:szCs w:val="24"/>
              </w:rPr>
            </w:pPr>
            <w:r>
              <w:rPr>
                <w:rFonts w:hint="eastAsia"/>
                <w:sz w:val="24"/>
                <w:szCs w:val="24"/>
              </w:rPr>
              <w:t>3</w:t>
            </w:r>
            <w:r>
              <w:rPr>
                <w:sz w:val="24"/>
                <w:szCs w:val="24"/>
              </w:rPr>
              <w:t>mg/</w:t>
            </w:r>
            <w:r>
              <w:rPr>
                <w:rFonts w:hint="eastAsia"/>
                <w:sz w:val="24"/>
                <w:szCs w:val="24"/>
              </w:rPr>
              <w:t>L</w:t>
            </w:r>
            <w:r>
              <w:rPr>
                <w:sz w:val="24"/>
                <w:szCs w:val="24"/>
              </w:rPr>
              <w:t>，</w:t>
            </w:r>
            <w:r>
              <w:rPr>
                <w:rFonts w:hint="eastAsia"/>
                <w:sz w:val="24"/>
                <w:szCs w:val="24"/>
              </w:rPr>
              <w:t>0.000168</w:t>
            </w:r>
            <w:r>
              <w:rPr>
                <w:sz w:val="24"/>
                <w:szCs w:val="24"/>
              </w:rPr>
              <w:t>t/a</w:t>
            </w:r>
          </w:p>
        </w:tc>
        <w:tc>
          <w:tcPr>
            <w:tcW w:w="1183" w:type="pct"/>
            <w:tcBorders>
              <w:bottom w:val="single" w:color="auto" w:sz="4" w:space="0"/>
            </w:tcBorders>
            <w:vAlign w:val="center"/>
          </w:tcPr>
          <w:p>
            <w:pPr>
              <w:adjustRightInd w:val="0"/>
              <w:snapToGrid w:val="0"/>
              <w:jc w:val="center"/>
              <w:rPr>
                <w:szCs w:val="21"/>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564" w:type="pct"/>
            <w:vMerge w:val="restart"/>
            <w:vAlign w:val="center"/>
          </w:tcPr>
          <w:p>
            <w:pPr>
              <w:jc w:val="center"/>
              <w:rPr>
                <w:sz w:val="24"/>
                <w:szCs w:val="24"/>
              </w:rPr>
            </w:pPr>
            <w:r>
              <w:rPr>
                <w:sz w:val="24"/>
                <w:szCs w:val="24"/>
              </w:rPr>
              <w:t>固体废物</w:t>
            </w:r>
          </w:p>
        </w:tc>
        <w:tc>
          <w:tcPr>
            <w:tcW w:w="1169" w:type="pct"/>
            <w:gridSpan w:val="2"/>
            <w:vMerge w:val="restart"/>
            <w:tcBorders>
              <w:top w:val="single" w:color="auto" w:sz="4" w:space="0"/>
            </w:tcBorders>
            <w:vAlign w:val="center"/>
          </w:tcPr>
          <w:p>
            <w:pPr>
              <w:jc w:val="center"/>
              <w:rPr>
                <w:sz w:val="24"/>
                <w:szCs w:val="24"/>
              </w:rPr>
            </w:pPr>
            <w:r>
              <w:rPr>
                <w:sz w:val="24"/>
                <w:szCs w:val="24"/>
              </w:rPr>
              <w:t>生产</w:t>
            </w:r>
            <w:r>
              <w:rPr>
                <w:rFonts w:hint="eastAsia"/>
                <w:sz w:val="24"/>
                <w:szCs w:val="24"/>
              </w:rPr>
              <w:t>固废</w:t>
            </w:r>
          </w:p>
        </w:tc>
        <w:tc>
          <w:tcPr>
            <w:tcW w:w="745" w:type="pct"/>
            <w:tcBorders>
              <w:top w:val="single" w:color="auto" w:sz="4" w:space="0"/>
            </w:tcBorders>
            <w:vAlign w:val="center"/>
          </w:tcPr>
          <w:p>
            <w:pPr>
              <w:adjustRightInd w:val="0"/>
              <w:snapToGrid w:val="0"/>
              <w:jc w:val="center"/>
              <w:rPr>
                <w:sz w:val="24"/>
                <w:szCs w:val="24"/>
              </w:rPr>
            </w:pPr>
            <w:r>
              <w:rPr>
                <w:rFonts w:hint="eastAsia"/>
                <w:sz w:val="24"/>
                <w:szCs w:val="24"/>
              </w:rPr>
              <w:t>木粉废包装</w:t>
            </w:r>
          </w:p>
        </w:tc>
        <w:tc>
          <w:tcPr>
            <w:tcW w:w="1337" w:type="pct"/>
            <w:tcBorders>
              <w:top w:val="single" w:color="auto" w:sz="4" w:space="0"/>
            </w:tcBorders>
            <w:vAlign w:val="center"/>
          </w:tcPr>
          <w:p>
            <w:pPr>
              <w:jc w:val="center"/>
              <w:rPr>
                <w:sz w:val="24"/>
                <w:szCs w:val="24"/>
              </w:rPr>
            </w:pPr>
            <w:r>
              <w:rPr>
                <w:rFonts w:hint="eastAsia"/>
                <w:sz w:val="24"/>
                <w:szCs w:val="24"/>
              </w:rPr>
              <w:t>0.5</w:t>
            </w:r>
            <w:r>
              <w:rPr>
                <w:rFonts w:hAnsi="宋体"/>
                <w:sz w:val="24"/>
                <w:szCs w:val="24"/>
              </w:rPr>
              <w:t>t/a</w:t>
            </w:r>
          </w:p>
        </w:tc>
        <w:tc>
          <w:tcPr>
            <w:tcW w:w="1183" w:type="pct"/>
            <w:tcBorders>
              <w:top w:val="single" w:color="auto" w:sz="4" w:space="0"/>
            </w:tcBorders>
            <w:vAlign w:val="center"/>
          </w:tcPr>
          <w:p>
            <w:pPr>
              <w:jc w:val="center"/>
              <w:rPr>
                <w:rFonts w:hAnsi="宋体"/>
                <w:sz w:val="24"/>
                <w:szCs w:val="24"/>
              </w:rPr>
            </w:pPr>
            <w:r>
              <w:rPr>
                <w:rFonts w:hint="eastAsia" w:hAnsi="宋体"/>
                <w:sz w:val="24"/>
                <w:szCs w:val="24"/>
              </w:rPr>
              <w:t>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trPr>
        <w:tc>
          <w:tcPr>
            <w:tcW w:w="564" w:type="pct"/>
            <w:vMerge w:val="continue"/>
            <w:vAlign w:val="center"/>
          </w:tcPr>
          <w:p>
            <w:pPr>
              <w:jc w:val="center"/>
              <w:rPr>
                <w:sz w:val="24"/>
                <w:szCs w:val="24"/>
              </w:rPr>
            </w:pPr>
          </w:p>
        </w:tc>
        <w:tc>
          <w:tcPr>
            <w:tcW w:w="1169" w:type="pct"/>
            <w:gridSpan w:val="2"/>
            <w:vMerge w:val="continue"/>
            <w:vAlign w:val="center"/>
          </w:tcPr>
          <w:p>
            <w:pPr>
              <w:jc w:val="center"/>
              <w:rPr>
                <w:sz w:val="24"/>
                <w:szCs w:val="24"/>
              </w:rPr>
            </w:pPr>
          </w:p>
        </w:tc>
        <w:tc>
          <w:tcPr>
            <w:tcW w:w="745" w:type="pct"/>
            <w:tcBorders>
              <w:top w:val="single" w:color="auto" w:sz="4" w:space="0"/>
            </w:tcBorders>
            <w:vAlign w:val="center"/>
          </w:tcPr>
          <w:p>
            <w:pPr>
              <w:adjustRightInd w:val="0"/>
              <w:snapToGrid w:val="0"/>
              <w:jc w:val="center"/>
              <w:rPr>
                <w:sz w:val="24"/>
                <w:szCs w:val="24"/>
              </w:rPr>
            </w:pPr>
            <w:r>
              <w:rPr>
                <w:rFonts w:hint="eastAsia"/>
                <w:sz w:val="24"/>
                <w:szCs w:val="24"/>
              </w:rPr>
              <w:t>木屑粉尘</w:t>
            </w:r>
          </w:p>
        </w:tc>
        <w:tc>
          <w:tcPr>
            <w:tcW w:w="1337" w:type="pct"/>
            <w:tcBorders>
              <w:top w:val="single" w:color="auto" w:sz="4" w:space="0"/>
              <w:bottom w:val="single" w:color="auto" w:sz="2" w:space="0"/>
            </w:tcBorders>
            <w:vAlign w:val="center"/>
          </w:tcPr>
          <w:p>
            <w:pPr>
              <w:autoSpaceDE w:val="0"/>
              <w:autoSpaceDN w:val="0"/>
              <w:jc w:val="center"/>
              <w:rPr>
                <w:sz w:val="24"/>
                <w:szCs w:val="24"/>
              </w:rPr>
            </w:pPr>
            <w:r>
              <w:rPr>
                <w:rFonts w:hint="eastAsia"/>
                <w:sz w:val="24"/>
                <w:szCs w:val="24"/>
              </w:rPr>
              <w:t>2.673t/a</w:t>
            </w:r>
          </w:p>
        </w:tc>
        <w:tc>
          <w:tcPr>
            <w:tcW w:w="1183" w:type="pct"/>
            <w:vAlign w:val="center"/>
          </w:tcPr>
          <w:p>
            <w:pPr>
              <w:jc w:val="center"/>
              <w:rPr>
                <w:sz w:val="24"/>
                <w:szCs w:val="24"/>
              </w:rPr>
            </w:pPr>
            <w:r>
              <w:rPr>
                <w:sz w:val="24"/>
                <w:szCs w:val="24"/>
              </w:rPr>
              <w:t>环卫清运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564" w:type="pct"/>
            <w:vMerge w:val="continue"/>
            <w:vAlign w:val="center"/>
          </w:tcPr>
          <w:p>
            <w:pPr>
              <w:jc w:val="center"/>
              <w:rPr>
                <w:sz w:val="24"/>
                <w:szCs w:val="24"/>
              </w:rPr>
            </w:pPr>
          </w:p>
        </w:tc>
        <w:tc>
          <w:tcPr>
            <w:tcW w:w="1169" w:type="pct"/>
            <w:gridSpan w:val="2"/>
            <w:tcBorders>
              <w:top w:val="single" w:color="auto" w:sz="4" w:space="0"/>
            </w:tcBorders>
            <w:vAlign w:val="center"/>
          </w:tcPr>
          <w:p>
            <w:pPr>
              <w:jc w:val="center"/>
              <w:rPr>
                <w:sz w:val="24"/>
                <w:szCs w:val="24"/>
              </w:rPr>
            </w:pPr>
            <w:r>
              <w:rPr>
                <w:sz w:val="24"/>
                <w:szCs w:val="24"/>
              </w:rPr>
              <w:t>办公生活</w:t>
            </w:r>
          </w:p>
        </w:tc>
        <w:tc>
          <w:tcPr>
            <w:tcW w:w="745" w:type="pct"/>
            <w:tcBorders>
              <w:top w:val="single" w:color="auto" w:sz="4" w:space="0"/>
            </w:tcBorders>
            <w:vAlign w:val="center"/>
          </w:tcPr>
          <w:p>
            <w:pPr>
              <w:jc w:val="center"/>
              <w:rPr>
                <w:sz w:val="24"/>
                <w:szCs w:val="24"/>
              </w:rPr>
            </w:pPr>
            <w:r>
              <w:rPr>
                <w:sz w:val="24"/>
                <w:szCs w:val="24"/>
              </w:rPr>
              <w:t>生活垃圾</w:t>
            </w:r>
          </w:p>
        </w:tc>
        <w:tc>
          <w:tcPr>
            <w:tcW w:w="1337" w:type="pct"/>
            <w:tcBorders>
              <w:top w:val="single" w:color="auto" w:sz="4" w:space="0"/>
            </w:tcBorders>
            <w:vAlign w:val="center"/>
          </w:tcPr>
          <w:p>
            <w:pPr>
              <w:autoSpaceDE w:val="0"/>
              <w:autoSpaceDN w:val="0"/>
              <w:jc w:val="center"/>
              <w:rPr>
                <w:sz w:val="24"/>
                <w:szCs w:val="24"/>
              </w:rPr>
            </w:pPr>
            <w:r>
              <w:rPr>
                <w:rFonts w:hint="eastAsia"/>
                <w:sz w:val="24"/>
                <w:szCs w:val="24"/>
              </w:rPr>
              <w:t>0.7</w:t>
            </w:r>
            <w:r>
              <w:rPr>
                <w:sz w:val="24"/>
                <w:szCs w:val="24"/>
              </w:rPr>
              <w:t>t/a</w:t>
            </w:r>
          </w:p>
        </w:tc>
        <w:tc>
          <w:tcPr>
            <w:tcW w:w="1183" w:type="pct"/>
            <w:vAlign w:val="center"/>
          </w:tcPr>
          <w:p>
            <w:pPr>
              <w:jc w:val="center"/>
              <w:rPr>
                <w:sz w:val="24"/>
                <w:szCs w:val="24"/>
              </w:rPr>
            </w:pPr>
            <w:r>
              <w:rPr>
                <w:sz w:val="24"/>
                <w:szCs w:val="24"/>
              </w:rPr>
              <w:t>环卫清运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7" w:hRule="atLeast"/>
        </w:trPr>
        <w:tc>
          <w:tcPr>
            <w:tcW w:w="564" w:type="pct"/>
            <w:vAlign w:val="center"/>
          </w:tcPr>
          <w:p>
            <w:pPr>
              <w:jc w:val="center"/>
              <w:rPr>
                <w:sz w:val="24"/>
                <w:szCs w:val="24"/>
              </w:rPr>
            </w:pPr>
            <w:r>
              <w:rPr>
                <w:sz w:val="24"/>
                <w:szCs w:val="24"/>
              </w:rPr>
              <w:t>噪声</w:t>
            </w:r>
          </w:p>
        </w:tc>
        <w:tc>
          <w:tcPr>
            <w:tcW w:w="4435" w:type="pct"/>
            <w:gridSpan w:val="5"/>
            <w:vAlign w:val="center"/>
          </w:tcPr>
          <w:p>
            <w:pPr>
              <w:ind w:firstLine="480" w:firstLineChars="200"/>
              <w:rPr>
                <w:sz w:val="24"/>
                <w:szCs w:val="24"/>
              </w:rPr>
            </w:pPr>
            <w:r>
              <w:rPr>
                <w:sz w:val="24"/>
                <w:szCs w:val="24"/>
              </w:rPr>
              <w:t>本项目高噪声设备主要为</w:t>
            </w:r>
            <w:r>
              <w:rPr>
                <w:rFonts w:hint="eastAsia"/>
                <w:spacing w:val="8"/>
                <w:kern w:val="24"/>
                <w:sz w:val="24"/>
                <w:szCs w:val="24"/>
              </w:rPr>
              <w:t>漂白机、粉碎机等设备</w:t>
            </w:r>
            <w:r>
              <w:rPr>
                <w:sz w:val="24"/>
                <w:szCs w:val="24"/>
              </w:rPr>
              <w:t>，噪声值</w:t>
            </w:r>
            <w:r>
              <w:rPr>
                <w:rFonts w:hint="eastAsia"/>
                <w:sz w:val="24"/>
                <w:szCs w:val="24"/>
              </w:rPr>
              <w:t>范围</w:t>
            </w:r>
            <w:r>
              <w:rPr>
                <w:sz w:val="24"/>
                <w:szCs w:val="24"/>
              </w:rPr>
              <w:t>为7</w:t>
            </w:r>
            <w:r>
              <w:rPr>
                <w:rFonts w:hint="eastAsia"/>
                <w:sz w:val="24"/>
                <w:szCs w:val="24"/>
              </w:rPr>
              <w:t>5</w:t>
            </w:r>
            <w:r>
              <w:rPr>
                <w:sz w:val="24"/>
                <w:szCs w:val="24"/>
              </w:rPr>
              <w:t>～</w:t>
            </w:r>
            <w:r>
              <w:rPr>
                <w:rFonts w:hint="eastAsia"/>
                <w:sz w:val="24"/>
                <w:szCs w:val="24"/>
              </w:rPr>
              <w:t>85</w:t>
            </w:r>
            <w:r>
              <w:rPr>
                <w:sz w:val="24"/>
                <w:szCs w:val="24"/>
              </w:rPr>
              <w:t>dB（A），各个设备噪声经过减振、厂房隔声及距离衰减等措施后，厂界噪声影响值满足《工业企业厂界环境噪声排放标准》（GB12348-2008）</w:t>
            </w:r>
            <w:r>
              <w:rPr>
                <w:rFonts w:hint="eastAsia"/>
                <w:sz w:val="24"/>
                <w:szCs w:val="24"/>
              </w:rPr>
              <w:t>2</w:t>
            </w:r>
            <w:r>
              <w:rPr>
                <w:sz w:val="24"/>
                <w:szCs w:val="24"/>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64" w:type="pct"/>
            <w:vAlign w:val="center"/>
          </w:tcPr>
          <w:p>
            <w:pPr>
              <w:jc w:val="center"/>
              <w:rPr>
                <w:sz w:val="24"/>
                <w:szCs w:val="24"/>
              </w:rPr>
            </w:pPr>
            <w:r>
              <w:rPr>
                <w:sz w:val="24"/>
                <w:szCs w:val="24"/>
              </w:rPr>
              <w:t>其它</w:t>
            </w:r>
          </w:p>
        </w:tc>
        <w:tc>
          <w:tcPr>
            <w:tcW w:w="4435" w:type="pct"/>
            <w:gridSpan w:val="5"/>
            <w:vAlign w:val="center"/>
          </w:tcPr>
          <w:p>
            <w:pPr>
              <w:snapToGrid w:val="0"/>
              <w:jc w:val="center"/>
              <w:rPr>
                <w:sz w:val="24"/>
                <w:szCs w:val="24"/>
              </w:rPr>
            </w:pPr>
            <w:r>
              <w:rPr>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4" w:hRule="atLeast"/>
        </w:trPr>
        <w:tc>
          <w:tcPr>
            <w:tcW w:w="5000" w:type="pct"/>
            <w:gridSpan w:val="6"/>
          </w:tcPr>
          <w:p>
            <w:pPr>
              <w:snapToGrid w:val="0"/>
              <w:rPr>
                <w:b/>
                <w:bCs/>
                <w:sz w:val="24"/>
                <w:szCs w:val="24"/>
              </w:rPr>
            </w:pPr>
            <w:r>
              <w:rPr>
                <w:b/>
                <w:bCs/>
                <w:sz w:val="24"/>
                <w:szCs w:val="24"/>
              </w:rPr>
              <w:t>主要生态影响（不够时可附另页）：</w:t>
            </w:r>
          </w:p>
          <w:p>
            <w:pPr>
              <w:snapToGrid w:val="0"/>
              <w:spacing w:line="360" w:lineRule="auto"/>
              <w:ind w:firstLine="480" w:firstLineChars="200"/>
              <w:rPr>
                <w:rFonts w:cs="宋体"/>
                <w:sz w:val="24"/>
                <w:szCs w:val="24"/>
              </w:rPr>
            </w:pPr>
            <w:r>
              <w:rPr>
                <w:rFonts w:hint="eastAsia" w:cs="宋体"/>
                <w:sz w:val="24"/>
                <w:szCs w:val="24"/>
              </w:rPr>
              <w:t>无。</w:t>
            </w:r>
          </w:p>
          <w:p>
            <w:pPr>
              <w:snapToGrid w:val="0"/>
              <w:spacing w:line="360" w:lineRule="auto"/>
              <w:ind w:firstLine="480" w:firstLineChars="200"/>
              <w:rPr>
                <w:rFonts w:cs="宋体"/>
                <w:sz w:val="24"/>
                <w:szCs w:val="24"/>
              </w:rPr>
            </w:pPr>
          </w:p>
          <w:p>
            <w:pPr>
              <w:snapToGrid w:val="0"/>
              <w:spacing w:line="360" w:lineRule="auto"/>
              <w:rPr>
                <w:rFonts w:cs="宋体"/>
                <w:sz w:val="24"/>
                <w:szCs w:val="24"/>
              </w:rPr>
            </w:pPr>
          </w:p>
          <w:p>
            <w:pPr>
              <w:snapToGrid w:val="0"/>
              <w:spacing w:line="360" w:lineRule="auto"/>
              <w:rPr>
                <w:rFonts w:cs="宋体"/>
                <w:sz w:val="24"/>
                <w:szCs w:val="24"/>
              </w:rPr>
            </w:pPr>
          </w:p>
          <w:p>
            <w:pPr>
              <w:snapToGrid w:val="0"/>
              <w:spacing w:line="360" w:lineRule="auto"/>
              <w:rPr>
                <w:rFonts w:cs="宋体"/>
                <w:sz w:val="24"/>
                <w:szCs w:val="24"/>
              </w:rPr>
            </w:pPr>
          </w:p>
          <w:p>
            <w:pPr>
              <w:snapToGrid w:val="0"/>
              <w:spacing w:line="360" w:lineRule="auto"/>
              <w:rPr>
                <w:rFonts w:cs="宋体"/>
                <w:sz w:val="24"/>
                <w:szCs w:val="24"/>
              </w:rPr>
            </w:pPr>
          </w:p>
          <w:p>
            <w:pPr>
              <w:snapToGrid w:val="0"/>
              <w:spacing w:line="360" w:lineRule="auto"/>
              <w:rPr>
                <w:rFonts w:cs="宋体"/>
                <w:sz w:val="24"/>
                <w:szCs w:val="24"/>
              </w:rPr>
            </w:pPr>
          </w:p>
          <w:p>
            <w:pPr>
              <w:snapToGrid w:val="0"/>
              <w:spacing w:line="360" w:lineRule="auto"/>
              <w:rPr>
                <w:rFonts w:cs="宋体"/>
                <w:sz w:val="24"/>
                <w:szCs w:val="24"/>
              </w:rPr>
            </w:pPr>
          </w:p>
          <w:p>
            <w:pPr>
              <w:snapToGrid w:val="0"/>
              <w:spacing w:line="360" w:lineRule="auto"/>
              <w:rPr>
                <w:rFonts w:cs="宋体"/>
                <w:sz w:val="24"/>
                <w:szCs w:val="24"/>
              </w:rPr>
            </w:pPr>
          </w:p>
        </w:tc>
      </w:tr>
    </w:tbl>
    <w:p>
      <w:pPr>
        <w:pStyle w:val="3"/>
        <w:rPr>
          <w:rFonts w:eastAsia="宋体"/>
        </w:rPr>
      </w:pPr>
      <w:r>
        <w:rPr>
          <w:rFonts w:hint="eastAsia" w:eastAsia="宋体"/>
        </w:rPr>
        <w:t>七、</w:t>
      </w:r>
      <w:r>
        <w:rPr>
          <w:rFonts w:eastAsia="宋体"/>
        </w:rPr>
        <w:t>环境影响分析</w:t>
      </w:r>
    </w:p>
    <w:tbl>
      <w:tblPr>
        <w:tblStyle w:val="33"/>
        <w:tblW w:w="0" w:type="auto"/>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2" w:type="dxa"/>
          </w:tcPr>
          <w:p>
            <w:pPr>
              <w:rPr>
                <w:b/>
                <w:bCs/>
                <w:sz w:val="24"/>
              </w:rPr>
            </w:pPr>
            <w:r>
              <w:rPr>
                <w:b/>
                <w:bCs/>
                <w:sz w:val="24"/>
              </w:rPr>
              <w:t>施工期环境影响分析：</w:t>
            </w:r>
          </w:p>
          <w:p>
            <w:pPr>
              <w:spacing w:line="360" w:lineRule="auto"/>
              <w:ind w:firstLine="480" w:firstLineChars="200"/>
              <w:rPr>
                <w:sz w:val="24"/>
              </w:rPr>
            </w:pPr>
            <w:r>
              <w:rPr>
                <w:rFonts w:hint="eastAsia"/>
                <w:sz w:val="24"/>
              </w:rPr>
              <w:t>本项目租赁闲置厂房，且施工期已全部完成，本次环评对施工期不作分析。</w:t>
            </w:r>
          </w:p>
          <w:p>
            <w:pPr>
              <w:spacing w:line="319" w:lineRule="auto"/>
              <w:ind w:firstLine="420" w:firstLineChars="200"/>
              <w:rPr>
                <w:szCs w:val="24"/>
              </w:rPr>
            </w:pPr>
          </w:p>
          <w:p>
            <w:pPr>
              <w:spacing w:line="319" w:lineRule="auto"/>
              <w:ind w:firstLine="420" w:firstLineChars="200"/>
              <w:rPr>
                <w:szCs w:val="24"/>
              </w:rPr>
            </w:pPr>
          </w:p>
          <w:p>
            <w:pPr>
              <w:spacing w:line="319" w:lineRule="auto"/>
              <w:ind w:firstLine="420" w:firstLineChars="200"/>
              <w:rPr>
                <w:szCs w:val="24"/>
              </w:rPr>
            </w:pPr>
          </w:p>
          <w:p>
            <w:pPr>
              <w:spacing w:line="319" w:lineRule="auto"/>
              <w:ind w:firstLine="420" w:firstLineChars="200"/>
              <w:rPr>
                <w:szCs w:val="24"/>
              </w:rPr>
            </w:pPr>
          </w:p>
          <w:p>
            <w:pPr>
              <w:spacing w:line="319" w:lineRule="auto"/>
              <w:ind w:firstLine="420" w:firstLineChars="200"/>
              <w:rPr>
                <w:szCs w:val="24"/>
              </w:rPr>
            </w:pPr>
          </w:p>
          <w:p>
            <w:pPr>
              <w:spacing w:line="319" w:lineRule="auto"/>
              <w:ind w:firstLine="420" w:firstLineChars="200"/>
              <w:rPr>
                <w:szCs w:val="24"/>
              </w:rPr>
            </w:pPr>
          </w:p>
          <w:p>
            <w:pPr>
              <w:spacing w:line="319" w:lineRule="auto"/>
              <w:rPr>
                <w:szCs w:val="24"/>
              </w:rPr>
            </w:pPr>
          </w:p>
          <w:p>
            <w:pPr>
              <w:spacing w:line="319" w:lineRule="auto"/>
              <w:rPr>
                <w:szCs w:val="24"/>
              </w:rPr>
            </w:pPr>
          </w:p>
          <w:p>
            <w:pPr>
              <w:spacing w:line="319" w:lineRule="auto"/>
              <w:rPr>
                <w:szCs w:val="24"/>
              </w:rPr>
            </w:pPr>
          </w:p>
          <w:p>
            <w:pPr>
              <w:spacing w:line="319" w:lineRule="auto"/>
              <w:rPr>
                <w:szCs w:val="24"/>
              </w:rPr>
            </w:pPr>
          </w:p>
          <w:p>
            <w:pPr>
              <w:spacing w:line="319" w:lineRule="auto"/>
              <w:rPr>
                <w:szCs w:val="24"/>
              </w:rPr>
            </w:pPr>
          </w:p>
          <w:p>
            <w:pPr>
              <w:spacing w:line="319" w:lineRule="auto"/>
              <w:rPr>
                <w:szCs w:val="24"/>
              </w:rPr>
            </w:pPr>
          </w:p>
          <w:p>
            <w:pPr>
              <w:spacing w:line="319" w:lineRule="auto"/>
              <w:rPr>
                <w:szCs w:val="24"/>
              </w:rPr>
            </w:pPr>
          </w:p>
          <w:p>
            <w:pPr>
              <w:spacing w:line="319" w:lineRule="auto"/>
              <w:rPr>
                <w:szCs w:val="24"/>
              </w:rPr>
            </w:pPr>
          </w:p>
          <w:p>
            <w:pPr>
              <w:spacing w:line="319" w:lineRule="auto"/>
              <w:rPr>
                <w:szCs w:val="24"/>
              </w:rPr>
            </w:pPr>
          </w:p>
          <w:p>
            <w:pPr>
              <w:spacing w:line="319" w:lineRule="auto"/>
              <w:rPr>
                <w:szCs w:val="24"/>
              </w:rPr>
            </w:pPr>
          </w:p>
          <w:p>
            <w:pPr>
              <w:spacing w:line="319" w:lineRule="auto"/>
              <w:rPr>
                <w:szCs w:val="24"/>
              </w:rPr>
            </w:pPr>
          </w:p>
          <w:p>
            <w:pPr>
              <w:spacing w:line="319" w:lineRule="auto"/>
              <w:rPr>
                <w:szCs w:val="24"/>
              </w:rPr>
            </w:pPr>
          </w:p>
          <w:p>
            <w:pPr>
              <w:spacing w:line="319" w:lineRule="auto"/>
              <w:rPr>
                <w:szCs w:val="24"/>
              </w:rPr>
            </w:pPr>
          </w:p>
          <w:p>
            <w:pPr>
              <w:spacing w:line="319" w:lineRule="auto"/>
              <w:rPr>
                <w:szCs w:val="24"/>
              </w:rPr>
            </w:pPr>
          </w:p>
          <w:p>
            <w:pPr>
              <w:spacing w:line="319" w:lineRule="auto"/>
              <w:rPr>
                <w:szCs w:val="24"/>
              </w:rPr>
            </w:pPr>
          </w:p>
          <w:p>
            <w:pPr>
              <w:spacing w:line="319" w:lineRule="auto"/>
              <w:rPr>
                <w:szCs w:val="24"/>
              </w:rPr>
            </w:pPr>
          </w:p>
          <w:p>
            <w:pPr>
              <w:spacing w:line="319" w:lineRule="auto"/>
              <w:rPr>
                <w:szCs w:val="24"/>
              </w:rPr>
            </w:pPr>
          </w:p>
          <w:p>
            <w:pPr>
              <w:spacing w:line="319" w:lineRule="auto"/>
              <w:rPr>
                <w:szCs w:val="24"/>
              </w:rPr>
            </w:pPr>
          </w:p>
          <w:p>
            <w:pPr>
              <w:spacing w:line="319" w:lineRule="auto"/>
              <w:rPr>
                <w:szCs w:val="24"/>
              </w:rPr>
            </w:pPr>
          </w:p>
          <w:p>
            <w:pPr>
              <w:spacing w:line="319" w:lineRule="auto"/>
              <w:rPr>
                <w:szCs w:val="24"/>
              </w:rPr>
            </w:pPr>
          </w:p>
          <w:p>
            <w:pPr>
              <w:spacing w:line="319" w:lineRule="auto"/>
              <w:rPr>
                <w:szCs w:val="24"/>
              </w:rPr>
            </w:pPr>
          </w:p>
          <w:p>
            <w:pPr>
              <w:spacing w:line="319" w:lineRule="auto"/>
              <w:rPr>
                <w:szCs w:val="24"/>
              </w:rPr>
            </w:pPr>
          </w:p>
          <w:p>
            <w:pPr>
              <w:spacing w:line="319" w:lineRule="auto"/>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trPr>
        <w:tc>
          <w:tcPr>
            <w:tcW w:w="8422" w:type="dxa"/>
            <w:tcBorders>
              <w:top w:val="single" w:color="auto" w:sz="4" w:space="0"/>
              <w:bottom w:val="single" w:color="auto" w:sz="4" w:space="0"/>
            </w:tcBorders>
          </w:tcPr>
          <w:p>
            <w:pPr>
              <w:rPr>
                <w:b/>
                <w:bCs/>
                <w:sz w:val="24"/>
              </w:rPr>
            </w:pPr>
            <w:r>
              <w:rPr>
                <w:b/>
                <w:bCs/>
                <w:sz w:val="24"/>
              </w:rPr>
              <w:t>营运期环境影响分析：</w:t>
            </w:r>
          </w:p>
          <w:p>
            <w:pPr>
              <w:spacing w:line="360" w:lineRule="auto"/>
              <w:ind w:firstLine="480" w:firstLineChars="200"/>
              <w:rPr>
                <w:sz w:val="24"/>
              </w:rPr>
            </w:pPr>
            <w:r>
              <w:rPr>
                <w:sz w:val="24"/>
              </w:rPr>
              <w:t>1、水环境影响</w:t>
            </w:r>
          </w:p>
          <w:p>
            <w:pPr>
              <w:spacing w:line="360" w:lineRule="auto"/>
              <w:ind w:firstLine="480" w:firstLineChars="200"/>
              <w:rPr>
                <w:sz w:val="24"/>
                <w:szCs w:val="24"/>
              </w:rPr>
            </w:pPr>
            <w:r>
              <w:rPr>
                <w:sz w:val="24"/>
                <w:szCs w:val="24"/>
              </w:rPr>
              <w:t>建设项目废水</w:t>
            </w:r>
            <w:r>
              <w:rPr>
                <w:rFonts w:hint="eastAsia"/>
                <w:sz w:val="24"/>
                <w:szCs w:val="24"/>
              </w:rPr>
              <w:t>主要</w:t>
            </w:r>
            <w:r>
              <w:rPr>
                <w:sz w:val="24"/>
                <w:szCs w:val="24"/>
              </w:rPr>
              <w:t>为生活污水</w:t>
            </w:r>
            <w:r>
              <w:rPr>
                <w:rFonts w:hint="eastAsia"/>
                <w:sz w:val="24"/>
                <w:szCs w:val="24"/>
              </w:rPr>
              <w:t>（56</w:t>
            </w:r>
            <w:r>
              <w:rPr>
                <w:sz w:val="24"/>
                <w:szCs w:val="24"/>
              </w:rPr>
              <w:t>t/a</w:t>
            </w:r>
            <w:r>
              <w:rPr>
                <w:rFonts w:hint="eastAsia"/>
                <w:sz w:val="24"/>
                <w:szCs w:val="24"/>
              </w:rPr>
              <w:t>），水量</w:t>
            </w:r>
            <w:r>
              <w:rPr>
                <w:sz w:val="24"/>
                <w:szCs w:val="24"/>
              </w:rPr>
              <w:t>较小，水质较简单</w:t>
            </w:r>
            <w:r>
              <w:rPr>
                <w:rFonts w:hint="eastAsia"/>
                <w:sz w:val="24"/>
                <w:szCs w:val="24"/>
              </w:rPr>
              <w:t>。</w:t>
            </w:r>
            <w:r>
              <w:rPr>
                <w:sz w:val="24"/>
                <w:szCs w:val="24"/>
              </w:rPr>
              <w:t>生活污水</w:t>
            </w:r>
            <w:r>
              <w:rPr>
                <w:rFonts w:hint="eastAsia"/>
                <w:sz w:val="24"/>
                <w:szCs w:val="24"/>
              </w:rPr>
              <w:t>经</w:t>
            </w:r>
            <w:r>
              <w:rPr>
                <w:sz w:val="24"/>
                <w:szCs w:val="24"/>
              </w:rPr>
              <w:t>地埋式污水处理设施处理，达到</w:t>
            </w:r>
            <w:r>
              <w:rPr>
                <w:rFonts w:hint="eastAsia"/>
                <w:sz w:val="24"/>
                <w:szCs w:val="24"/>
              </w:rPr>
              <w:t>《城市污水再生利用绿地灌溉水质》（GB/T 25499-2010）</w:t>
            </w:r>
            <w:r>
              <w:rPr>
                <w:sz w:val="24"/>
                <w:szCs w:val="24"/>
              </w:rPr>
              <w:t>中城市绿化水质标准</w:t>
            </w:r>
            <w:r>
              <w:rPr>
                <w:rFonts w:hint="eastAsia"/>
                <w:sz w:val="24"/>
                <w:szCs w:val="24"/>
              </w:rPr>
              <w:t>后用于厂区绿化。</w:t>
            </w:r>
          </w:p>
          <w:p>
            <w:pPr>
              <w:spacing w:line="360" w:lineRule="auto"/>
              <w:ind w:firstLine="480" w:firstLineChars="200"/>
              <w:rPr>
                <w:sz w:val="24"/>
                <w:szCs w:val="24"/>
              </w:rPr>
            </w:pPr>
            <w:r>
              <w:rPr>
                <w:rFonts w:hint="eastAsia"/>
                <w:sz w:val="24"/>
                <w:szCs w:val="24"/>
              </w:rPr>
              <w:t>本项目地埋式污水处理设施设计处理能力为0.2t/d，可满足本厂污水处理需求。地埋式污水处理一体化设备采用先进的生物处理工艺，集去除BOD、COD、NH</w:t>
            </w:r>
            <w:r>
              <w:rPr>
                <w:rFonts w:hint="eastAsia"/>
                <w:sz w:val="24"/>
                <w:szCs w:val="24"/>
                <w:vertAlign w:val="subscript"/>
              </w:rPr>
              <w:t>3</w:t>
            </w:r>
            <w:r>
              <w:rPr>
                <w:rFonts w:hint="eastAsia"/>
                <w:sz w:val="24"/>
                <w:szCs w:val="24"/>
              </w:rPr>
              <w:t>-N、TP于一体，适用范围有宾馆、疗养院、医院、学校、居民住宅小区等等。地埋式污水处理系统位于地表以下，地表可作为绿化或广场用地，该设备不占地表面积，不需要添置操作间和采取保暖保温措施。该污水处理系统由二级池子组成，一级为钢筋混凝土结构，埋深较大，该池为格栅池和调节池，去除掉污水中的悬浮物并对污水进行调节、匀质处理；二级为钢结构，埋深较浅，钢结构池采用国内首创的互传网络防腐涂料进行防腐，它是一种橡胶网络与塑料网络相互贯穿形成互穿网络聚合物，能耐酸、碱、盐，耐老化、冲磨，设备防腐寿命可达12年以上。</w:t>
            </w:r>
          </w:p>
          <w:p>
            <w:pPr>
              <w:spacing w:line="360" w:lineRule="auto"/>
              <w:ind w:firstLine="480" w:firstLineChars="200"/>
              <w:rPr>
                <w:sz w:val="24"/>
                <w:szCs w:val="24"/>
              </w:rPr>
            </w:pPr>
            <w:r>
              <w:rPr>
                <w:rFonts w:hint="eastAsia"/>
                <w:sz w:val="24"/>
                <w:szCs w:val="24"/>
              </w:rPr>
              <w:t>污水处理设备中的A</w:t>
            </w:r>
            <w:r>
              <w:rPr>
                <w:rFonts w:hint="eastAsia"/>
                <w:sz w:val="24"/>
                <w:szCs w:val="24"/>
                <w:vertAlign w:val="superscript"/>
              </w:rPr>
              <w:t>2</w:t>
            </w:r>
            <w:r>
              <w:rPr>
                <w:rFonts w:hint="eastAsia"/>
                <w:sz w:val="24"/>
                <w:szCs w:val="24"/>
              </w:rPr>
              <w:t>/O生物处理工艺采用推流式生物接触氧化池，它的处理优于完全混合式或二、三级串联完全混合式生物接触氧化池，并且它比活性污泥池体积小，对水质适应性强，耐冲击性能好，出水水质稳定，不会产生污泥膨胀。同时在生物接触氧化池中采用了新型弹性立体填料，它具有实际比表面积大，微生物挂膜、脱膜方便，在同样有机负荷条件下，比其它填料对有机物的去除率高，能提高空气中的氧在水中溶解度。</w:t>
            </w:r>
          </w:p>
          <w:p>
            <w:pPr>
              <w:spacing w:line="360" w:lineRule="auto"/>
              <w:ind w:firstLine="480" w:firstLineChars="200"/>
              <w:rPr>
                <w:sz w:val="24"/>
                <w:szCs w:val="24"/>
              </w:rPr>
            </w:pPr>
            <w:r>
              <w:rPr>
                <w:rFonts w:hint="eastAsia"/>
                <w:sz w:val="24"/>
                <w:szCs w:val="24"/>
              </w:rPr>
              <w:t>由于在A</w:t>
            </w:r>
            <w:r>
              <w:rPr>
                <w:rFonts w:hint="eastAsia"/>
                <w:sz w:val="24"/>
                <w:szCs w:val="24"/>
                <w:vertAlign w:val="superscript"/>
              </w:rPr>
              <w:t>2</w:t>
            </w:r>
            <w:r>
              <w:rPr>
                <w:rFonts w:hint="eastAsia"/>
                <w:sz w:val="24"/>
                <w:szCs w:val="24"/>
              </w:rPr>
              <w:t>/O生物处理工艺中采用了生物接触氧化池，其填料的体积负荷比较低，微生物处于自身氧化阶段，因此产泥量较少。此外，生物接触氧化池所产生污泥的含水率远远低于活性污泥池所产生污泥的含水率。</w:t>
            </w:r>
          </w:p>
          <w:p>
            <w:pPr>
              <w:spacing w:line="360" w:lineRule="auto"/>
              <w:ind w:firstLine="480" w:firstLineChars="200"/>
              <w:rPr>
                <w:sz w:val="24"/>
                <w:szCs w:val="24"/>
              </w:rPr>
            </w:pPr>
            <w:r>
              <w:rPr>
                <w:rFonts w:hint="eastAsia"/>
                <w:sz w:val="24"/>
                <w:szCs w:val="24"/>
              </w:rPr>
              <w:t>地埋式污水处理设备配套全自动电器控制系统及设备损坏报警系统，设备可靠性好，因此平时一般无需专人管理，只需每月季度的维护和保养。</w:t>
            </w:r>
          </w:p>
          <w:p>
            <w:pPr>
              <w:spacing w:line="360" w:lineRule="auto"/>
              <w:ind w:firstLine="480" w:firstLineChars="200"/>
              <w:rPr>
                <w:sz w:val="24"/>
                <w:szCs w:val="24"/>
              </w:rPr>
            </w:pPr>
            <w:r>
              <w:rPr>
                <w:rFonts w:hint="eastAsia"/>
                <w:sz w:val="24"/>
                <w:szCs w:val="24"/>
              </w:rPr>
              <w:t>在此条件下，本项目产生的生活废水对周边地表水环境影响较小，可满足环境管理要求。</w:t>
            </w:r>
          </w:p>
          <w:p>
            <w:pPr>
              <w:spacing w:line="360" w:lineRule="auto"/>
              <w:ind w:firstLine="480" w:firstLineChars="200"/>
              <w:rPr>
                <w:sz w:val="24"/>
              </w:rPr>
            </w:pPr>
            <w:r>
              <w:rPr>
                <w:sz w:val="24"/>
              </w:rPr>
              <w:t>2、大气环境影响</w:t>
            </w:r>
          </w:p>
          <w:p>
            <w:pPr>
              <w:pStyle w:val="92"/>
              <w:adjustRightInd/>
              <w:spacing w:line="360" w:lineRule="auto"/>
              <w:ind w:firstLine="480" w:firstLineChars="200"/>
              <w:jc w:val="both"/>
              <w:rPr>
                <w:color w:val="auto"/>
              </w:rPr>
            </w:pPr>
            <w:r>
              <w:rPr>
                <w:rFonts w:hint="eastAsia" w:ascii="Times New Roman" w:hAnsi="Times New Roman" w:cs="Times New Roman"/>
                <w:color w:val="auto"/>
              </w:rPr>
              <w:t>（1）</w:t>
            </w:r>
            <w:r>
              <w:rPr>
                <w:rFonts w:hint="eastAsia"/>
                <w:color w:val="auto"/>
              </w:rPr>
              <w:t>大气环境影响评价工作等级的确定</w:t>
            </w:r>
          </w:p>
          <w:p>
            <w:pPr>
              <w:pStyle w:val="92"/>
              <w:adjustRightInd/>
              <w:spacing w:line="360" w:lineRule="auto"/>
              <w:ind w:firstLine="480" w:firstLineChars="200"/>
              <w:jc w:val="both"/>
              <w:rPr>
                <w:color w:val="auto"/>
              </w:rPr>
            </w:pPr>
            <w:r>
              <w:rPr>
                <w:rFonts w:hint="eastAsia"/>
                <w:color w:val="auto"/>
              </w:rPr>
              <w:t>依据《环境影响评价技术导则</w:t>
            </w:r>
            <w:r>
              <w:rPr>
                <w:rFonts w:ascii="Times New Roman" w:cs="Times New Roman"/>
                <w:color w:val="auto"/>
              </w:rPr>
              <w:t>-</w:t>
            </w:r>
            <w:r>
              <w:rPr>
                <w:rFonts w:hint="eastAsia"/>
                <w:color w:val="auto"/>
              </w:rPr>
              <w:t>大气环境》</w:t>
            </w:r>
            <w:r>
              <w:rPr>
                <w:rFonts w:ascii="宋体" w:hAnsi="宋体" w:cs="Times New Roman"/>
                <w:color w:val="auto"/>
              </w:rPr>
              <w:t>(</w:t>
            </w:r>
            <w:r>
              <w:rPr>
                <w:rFonts w:ascii="Times New Roman" w:cs="Times New Roman"/>
                <w:color w:val="auto"/>
              </w:rPr>
              <w:t>HJ2.2-2018</w:t>
            </w:r>
            <w:r>
              <w:rPr>
                <w:rFonts w:ascii="宋体" w:hAnsi="宋体" w:cs="Times New Roman"/>
                <w:color w:val="auto"/>
              </w:rPr>
              <w:t>)</w:t>
            </w:r>
            <w:r>
              <w:rPr>
                <w:rFonts w:hint="eastAsia"/>
                <w:color w:val="auto"/>
              </w:rPr>
              <w:t>中</w:t>
            </w:r>
            <w:r>
              <w:rPr>
                <w:rFonts w:ascii="Times New Roman" w:cs="Times New Roman"/>
                <w:color w:val="auto"/>
              </w:rPr>
              <w:t>5.3</w:t>
            </w:r>
            <w:r>
              <w:rPr>
                <w:rFonts w:hint="eastAsia"/>
                <w:color w:val="auto"/>
              </w:rPr>
              <w:t>节工作等级的确定方法，结合项目工程分析结果，选择正常排放的主要污染物及排放参数，采用附录</w:t>
            </w:r>
            <w:r>
              <w:rPr>
                <w:rFonts w:ascii="Times New Roman" w:cs="Times New Roman"/>
                <w:color w:val="auto"/>
              </w:rPr>
              <w:t>A</w:t>
            </w:r>
            <w:r>
              <w:rPr>
                <w:rFonts w:hint="eastAsia"/>
                <w:color w:val="auto"/>
              </w:rPr>
              <w:t>推荐模型中的</w:t>
            </w:r>
            <w:r>
              <w:rPr>
                <w:rFonts w:ascii="Times New Roman" w:cs="Times New Roman"/>
                <w:color w:val="auto"/>
              </w:rPr>
              <w:t>AERSCREEN</w:t>
            </w:r>
            <w:r>
              <w:rPr>
                <w:rFonts w:hint="eastAsia"/>
                <w:color w:val="auto"/>
              </w:rPr>
              <w:t>模式计算项目污染源的最大环境影响，然后按评价工作分级判据进行分级。</w:t>
            </w:r>
          </w:p>
          <w:p>
            <w:pPr>
              <w:pStyle w:val="92"/>
              <w:adjustRightInd/>
              <w:spacing w:line="360" w:lineRule="auto"/>
              <w:ind w:firstLine="480" w:firstLineChars="200"/>
              <w:jc w:val="both"/>
              <w:rPr>
                <w:rFonts w:ascii="Times New Roman" w:hAnsi="Times New Roman"/>
                <w:color w:val="auto"/>
              </w:rPr>
            </w:pPr>
            <w:r>
              <w:rPr>
                <w:rFonts w:hint="eastAsia" w:ascii="Times New Roman" w:hAnsi="Times New Roman"/>
                <w:color w:val="auto"/>
              </w:rPr>
              <w:t>①</w:t>
            </w:r>
            <w:r>
              <w:rPr>
                <w:rFonts w:ascii="Times New Roman" w:hAnsi="Times New Roman"/>
                <w:color w:val="auto"/>
              </w:rPr>
              <w:t>Pmax</w:t>
            </w:r>
            <w:r>
              <w:rPr>
                <w:rFonts w:hint="eastAsia" w:ascii="Times New Roman" w:hAnsi="Times New Roman"/>
                <w:color w:val="auto"/>
              </w:rPr>
              <w:t>及</w:t>
            </w:r>
            <w:r>
              <w:rPr>
                <w:rFonts w:ascii="Times New Roman" w:hAnsi="Times New Roman"/>
                <w:color w:val="auto"/>
              </w:rPr>
              <w:t>D10%</w:t>
            </w:r>
            <w:r>
              <w:rPr>
                <w:rFonts w:hint="eastAsia" w:ascii="Times New Roman" w:hAnsi="Times New Roman"/>
                <w:color w:val="auto"/>
              </w:rPr>
              <w:t>的确定</w:t>
            </w:r>
          </w:p>
          <w:p>
            <w:pPr>
              <w:pStyle w:val="92"/>
              <w:adjustRightInd/>
              <w:spacing w:line="360" w:lineRule="auto"/>
              <w:ind w:firstLine="480" w:firstLineChars="200"/>
              <w:jc w:val="both"/>
              <w:rPr>
                <w:rFonts w:ascii="Times New Roman" w:hAnsi="Times New Roman"/>
                <w:color w:val="auto"/>
              </w:rPr>
            </w:pPr>
            <w:r>
              <w:rPr>
                <w:rFonts w:hint="eastAsia" w:ascii="Times New Roman" w:hAnsi="Times New Roman"/>
                <w:color w:val="auto"/>
              </w:rPr>
              <w:t>依据《环境影响评价技术导则大气环境》</w:t>
            </w:r>
            <w:r>
              <w:rPr>
                <w:rFonts w:ascii="宋体" w:hAnsi="宋体" w:cs="Times New Roman"/>
                <w:color w:val="auto"/>
              </w:rPr>
              <w:t>(</w:t>
            </w:r>
            <w:r>
              <w:rPr>
                <w:rFonts w:ascii="Times New Roman" w:hAnsi="Times New Roman" w:cs="Times New Roman"/>
                <w:color w:val="auto"/>
              </w:rPr>
              <w:t>HJ2.2-2018</w:t>
            </w:r>
            <w:r>
              <w:rPr>
                <w:rFonts w:ascii="宋体" w:hAnsi="宋体" w:cs="Times New Roman"/>
                <w:color w:val="auto"/>
              </w:rPr>
              <w:t>)</w:t>
            </w:r>
            <w:r>
              <w:rPr>
                <w:rFonts w:hint="eastAsia" w:ascii="Times New Roman" w:hAnsi="Times New Roman"/>
                <w:color w:val="auto"/>
              </w:rPr>
              <w:t>中最大地面浓度占标率</w:t>
            </w:r>
            <w:r>
              <w:rPr>
                <w:rFonts w:ascii="Times New Roman" w:hAnsi="Times New Roman" w:cs="Times New Roman"/>
                <w:color w:val="auto"/>
              </w:rPr>
              <w:t>P</w:t>
            </w:r>
            <w:r>
              <w:rPr>
                <w:rFonts w:ascii="Times New Roman" w:hAnsi="Times New Roman" w:cs="Times New Roman"/>
                <w:i/>
                <w:iCs/>
                <w:color w:val="auto"/>
              </w:rPr>
              <w:t>i</w:t>
            </w:r>
            <w:r>
              <w:rPr>
                <w:rFonts w:hint="eastAsia" w:ascii="Times New Roman" w:hAnsi="Times New Roman"/>
                <w:color w:val="auto"/>
              </w:rPr>
              <w:t>定义如下：</w:t>
            </w:r>
          </w:p>
          <w:p>
            <w:pPr>
              <w:pStyle w:val="92"/>
              <w:adjustRightInd/>
              <w:spacing w:line="360" w:lineRule="auto"/>
              <w:ind w:firstLine="2760" w:firstLineChars="1150"/>
              <w:jc w:val="both"/>
              <w:rPr>
                <w:rFonts w:ascii="Times New Roman" w:hAnsi="Times New Roman" w:cs="Cambria Math"/>
                <w:color w:val="auto"/>
              </w:rPr>
            </w:pPr>
            <w:r>
              <w:rPr>
                <w:rFonts w:ascii="Cambria Math" w:hAnsi="Cambria Math" w:cs="Cambria Math"/>
                <w:color w:val="auto"/>
              </w:rPr>
              <w:t>𝑃𝑖</w:t>
            </w:r>
            <w:r>
              <w:rPr>
                <w:rFonts w:ascii="Times New Roman" w:hAnsi="Times New Roman" w:cs="Cambria Math"/>
                <w:color w:val="auto"/>
              </w:rPr>
              <w:t>=</w:t>
            </w:r>
            <w:r>
              <w:rPr>
                <w:rFonts w:ascii="Cambria Math" w:hAnsi="Cambria Math" w:cs="Cambria Math"/>
                <w:color w:val="auto"/>
              </w:rPr>
              <w:t>𝐶𝑖𝐶</w:t>
            </w:r>
            <w:r>
              <w:rPr>
                <w:rFonts w:ascii="Times New Roman" w:hAnsi="Times New Roman" w:cs="Cambria Math"/>
                <w:color w:val="auto"/>
              </w:rPr>
              <w:t>0</w:t>
            </w:r>
            <w:r>
              <w:rPr>
                <w:rFonts w:ascii="Cambria Math" w:hAnsi="Cambria Math" w:cs="Cambria Math"/>
                <w:color w:val="auto"/>
              </w:rPr>
              <w:t>𝑖</w:t>
            </w:r>
            <w:r>
              <w:rPr>
                <w:rFonts w:ascii="Times New Roman" w:hAnsi="Times New Roman" w:cs="Cambria Math"/>
                <w:color w:val="auto"/>
              </w:rPr>
              <w:t xml:space="preserve">×100% </w:t>
            </w:r>
          </w:p>
          <w:p>
            <w:pPr>
              <w:pStyle w:val="92"/>
              <w:adjustRightInd/>
              <w:spacing w:line="360" w:lineRule="auto"/>
              <w:ind w:firstLine="480" w:firstLineChars="200"/>
              <w:jc w:val="both"/>
              <w:rPr>
                <w:rFonts w:ascii="Times New Roman" w:hAnsi="Times New Roman"/>
                <w:color w:val="auto"/>
              </w:rPr>
            </w:pPr>
            <w:r>
              <w:rPr>
                <w:rFonts w:ascii="Cambria Math" w:hAnsi="Cambria Math" w:cs="Cambria Math"/>
                <w:color w:val="auto"/>
              </w:rPr>
              <w:t>𝑃𝑖</w:t>
            </w:r>
            <w:r>
              <w:rPr>
                <w:rFonts w:ascii="Times New Roman" w:hAnsi="Times New Roman" w:cs="Times New Roman"/>
                <w:color w:val="auto"/>
              </w:rPr>
              <w:t>——</w:t>
            </w:r>
            <w:r>
              <w:rPr>
                <w:rFonts w:hint="eastAsia" w:ascii="Times New Roman" w:hAnsi="Times New Roman"/>
                <w:color w:val="auto"/>
              </w:rPr>
              <w:t>第</w:t>
            </w:r>
            <w:r>
              <w:rPr>
                <w:rFonts w:ascii="Times New Roman" w:hAnsi="Times New Roman" w:cs="Times New Roman"/>
                <w:color w:val="auto"/>
              </w:rPr>
              <w:t>i</w:t>
            </w:r>
            <w:r>
              <w:rPr>
                <w:rFonts w:hint="eastAsia" w:ascii="Times New Roman" w:hAnsi="Times New Roman"/>
                <w:color w:val="auto"/>
              </w:rPr>
              <w:t>个污染物的最大地面空气质量浓度占标率，</w:t>
            </w:r>
            <w:r>
              <w:rPr>
                <w:rFonts w:ascii="Times New Roman" w:hAnsi="Times New Roman" w:cs="Times New Roman"/>
                <w:color w:val="auto"/>
              </w:rPr>
              <w:t>%</w:t>
            </w:r>
            <w:r>
              <w:rPr>
                <w:rFonts w:hint="eastAsia" w:ascii="Times New Roman" w:hAnsi="Times New Roman"/>
                <w:color w:val="auto"/>
              </w:rPr>
              <w:t>；</w:t>
            </w:r>
          </w:p>
          <w:p>
            <w:pPr>
              <w:pStyle w:val="92"/>
              <w:adjustRightInd/>
              <w:spacing w:line="360" w:lineRule="auto"/>
              <w:ind w:firstLine="480" w:firstLineChars="200"/>
              <w:jc w:val="both"/>
              <w:rPr>
                <w:rFonts w:ascii="Times New Roman" w:hAnsi="Times New Roman"/>
                <w:color w:val="auto"/>
              </w:rPr>
            </w:pPr>
            <w:r>
              <w:rPr>
                <w:rFonts w:ascii="Cambria Math" w:hAnsi="Cambria Math" w:cs="Cambria Math"/>
                <w:color w:val="auto"/>
              </w:rPr>
              <w:t>𝐶𝑖</w:t>
            </w:r>
            <w:r>
              <w:rPr>
                <w:rFonts w:ascii="Times New Roman" w:hAnsi="Times New Roman" w:cs="Times New Roman"/>
                <w:color w:val="auto"/>
              </w:rPr>
              <w:t>——</w:t>
            </w:r>
            <w:r>
              <w:rPr>
                <w:rFonts w:hint="eastAsia" w:ascii="Times New Roman" w:hAnsi="Times New Roman"/>
                <w:color w:val="auto"/>
              </w:rPr>
              <w:t>采用估算模型计算出的第</w:t>
            </w:r>
            <w:r>
              <w:rPr>
                <w:rFonts w:ascii="Times New Roman" w:hAnsi="Times New Roman" w:cs="Times New Roman"/>
                <w:color w:val="auto"/>
              </w:rPr>
              <w:t>i</w:t>
            </w:r>
            <w:r>
              <w:rPr>
                <w:rFonts w:hint="eastAsia" w:ascii="Times New Roman" w:hAnsi="Times New Roman"/>
                <w:color w:val="auto"/>
              </w:rPr>
              <w:t>个污染物的最大</w:t>
            </w:r>
            <w:r>
              <w:rPr>
                <w:rFonts w:ascii="Times New Roman" w:hAnsi="Times New Roman" w:cs="Times New Roman"/>
                <w:color w:val="auto"/>
              </w:rPr>
              <w:t>1h</w:t>
            </w:r>
            <w:r>
              <w:rPr>
                <w:rFonts w:hint="eastAsia" w:ascii="Times New Roman" w:hAnsi="Times New Roman"/>
                <w:color w:val="auto"/>
              </w:rPr>
              <w:t>地面空气质量浓度，</w:t>
            </w:r>
            <w:r>
              <w:rPr>
                <w:rFonts w:ascii="Times New Roman" w:hAnsi="Times New Roman" w:cs="Times New Roman"/>
                <w:color w:val="auto"/>
              </w:rPr>
              <w:t>μg/m</w:t>
            </w:r>
            <w:r>
              <w:rPr>
                <w:rFonts w:ascii="Times New Roman" w:hAnsi="Times New Roman" w:cs="Times New Roman"/>
                <w:color w:val="auto"/>
                <w:vertAlign w:val="superscript"/>
              </w:rPr>
              <w:t>3</w:t>
            </w:r>
            <w:r>
              <w:rPr>
                <w:rFonts w:hint="eastAsia" w:ascii="Times New Roman" w:hAnsi="Times New Roman"/>
                <w:color w:val="auto"/>
              </w:rPr>
              <w:t>；</w:t>
            </w:r>
          </w:p>
          <w:p>
            <w:pPr>
              <w:pStyle w:val="92"/>
              <w:adjustRightInd/>
              <w:spacing w:line="360" w:lineRule="auto"/>
              <w:ind w:firstLine="480" w:firstLineChars="200"/>
              <w:jc w:val="both"/>
              <w:rPr>
                <w:color w:val="auto"/>
              </w:rPr>
            </w:pPr>
            <w:r>
              <w:rPr>
                <w:rFonts w:ascii="Cambria Math" w:hAnsi="Cambria Math" w:cs="Cambria Math"/>
                <w:color w:val="auto"/>
              </w:rPr>
              <w:t>𝐶</w:t>
            </w:r>
            <w:r>
              <w:rPr>
                <w:rFonts w:ascii="Times New Roman" w:hAnsi="Times New Roman" w:cs="Cambria Math"/>
                <w:color w:val="auto"/>
              </w:rPr>
              <w:t>0</w:t>
            </w:r>
            <w:r>
              <w:rPr>
                <w:rFonts w:ascii="Cambria Math" w:hAnsi="Cambria Math" w:cs="Cambria Math"/>
                <w:color w:val="auto"/>
              </w:rPr>
              <w:t>𝑖</w:t>
            </w:r>
            <w:r>
              <w:rPr>
                <w:rFonts w:ascii="Times New Roman" w:hAnsi="Times New Roman" w:cs="Times New Roman"/>
                <w:color w:val="auto"/>
              </w:rPr>
              <w:t>——</w:t>
            </w:r>
            <w:r>
              <w:rPr>
                <w:rFonts w:hint="eastAsia" w:ascii="Times New Roman" w:hAnsi="Times New Roman"/>
                <w:color w:val="auto"/>
              </w:rPr>
              <w:t>第</w:t>
            </w:r>
            <w:r>
              <w:rPr>
                <w:rFonts w:ascii="Times New Roman" w:hAnsi="Times New Roman" w:cs="Times New Roman"/>
                <w:color w:val="auto"/>
              </w:rPr>
              <w:t>i</w:t>
            </w:r>
            <w:r>
              <w:rPr>
                <w:rFonts w:hint="eastAsia" w:ascii="Times New Roman" w:hAnsi="Times New Roman"/>
                <w:color w:val="auto"/>
              </w:rPr>
              <w:t>个污染物的环境空气质量浓度标准，</w:t>
            </w:r>
            <w:r>
              <w:rPr>
                <w:rFonts w:ascii="Times New Roman" w:hAnsi="Times New Roman" w:cs="Times New Roman"/>
                <w:color w:val="auto"/>
              </w:rPr>
              <w:t>μg/m</w:t>
            </w:r>
            <w:r>
              <w:rPr>
                <w:rFonts w:hint="eastAsia" w:ascii="Times New Roman" w:hAnsi="Times New Roman" w:cs="Times New Roman"/>
                <w:color w:val="auto"/>
                <w:vertAlign w:val="superscript"/>
              </w:rPr>
              <w:t>3</w:t>
            </w:r>
            <w:r>
              <w:rPr>
                <w:rFonts w:hint="eastAsia" w:ascii="Times New Roman" w:hAnsi="Times New Roman" w:cs="Times New Roman"/>
                <w:color w:val="auto"/>
              </w:rPr>
              <w:t>。</w:t>
            </w:r>
          </w:p>
          <w:p>
            <w:pPr>
              <w:pStyle w:val="92"/>
              <w:numPr>
                <w:ilvl w:val="0"/>
                <w:numId w:val="0"/>
              </w:numPr>
              <w:adjustRightInd/>
              <w:spacing w:line="360" w:lineRule="auto"/>
              <w:ind w:leftChars="200"/>
              <w:jc w:val="both"/>
              <w:rPr>
                <w:color w:val="auto"/>
              </w:rPr>
            </w:pPr>
            <w:r>
              <w:rPr>
                <w:rFonts w:hint="eastAsia"/>
                <w:color w:val="auto"/>
                <w:lang w:eastAsia="zh-CN"/>
              </w:rPr>
              <w:t>②</w:t>
            </w:r>
            <w:r>
              <w:rPr>
                <w:rFonts w:hint="eastAsia"/>
                <w:color w:val="auto"/>
              </w:rPr>
              <w:t>评价等级判别表</w:t>
            </w:r>
          </w:p>
          <w:p>
            <w:pPr>
              <w:spacing w:line="360" w:lineRule="auto"/>
              <w:ind w:firstLine="480" w:firstLineChars="200"/>
              <w:rPr>
                <w:sz w:val="24"/>
                <w:szCs w:val="24"/>
              </w:rPr>
            </w:pPr>
            <w:r>
              <w:rPr>
                <w:rFonts w:hint="eastAsia"/>
                <w:sz w:val="24"/>
                <w:szCs w:val="24"/>
              </w:rPr>
              <w:t>评价等级按下表的分级判据进行划分</w:t>
            </w:r>
          </w:p>
          <w:p>
            <w:pPr>
              <w:jc w:val="center"/>
              <w:rPr>
                <w:b/>
                <w:sz w:val="24"/>
                <w:szCs w:val="24"/>
              </w:rPr>
            </w:pPr>
            <w:r>
              <w:rPr>
                <w:rFonts w:hint="eastAsia"/>
                <w:b/>
                <w:sz w:val="24"/>
                <w:szCs w:val="24"/>
              </w:rPr>
              <w:t>表7-1  评价等级判别表</w:t>
            </w:r>
          </w:p>
          <w:tbl>
            <w:tblPr>
              <w:tblStyle w:val="34"/>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095"/>
              <w:gridCol w:w="40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95" w:type="dxa"/>
                  <w:vAlign w:val="center"/>
                </w:tcPr>
                <w:p>
                  <w:pPr>
                    <w:adjustRightInd w:val="0"/>
                    <w:snapToGrid w:val="0"/>
                    <w:jc w:val="center"/>
                    <w:rPr>
                      <w:b/>
                    </w:rPr>
                  </w:pPr>
                  <w:r>
                    <w:rPr>
                      <w:rFonts w:hint="eastAsia"/>
                      <w:b/>
                    </w:rPr>
                    <w:t>评价工作等级</w:t>
                  </w:r>
                </w:p>
              </w:tc>
              <w:tc>
                <w:tcPr>
                  <w:tcW w:w="4096" w:type="dxa"/>
                  <w:vAlign w:val="center"/>
                </w:tcPr>
                <w:p>
                  <w:pPr>
                    <w:adjustRightInd w:val="0"/>
                    <w:snapToGrid w:val="0"/>
                    <w:jc w:val="center"/>
                    <w:rPr>
                      <w:b/>
                    </w:rPr>
                  </w:pPr>
                  <w:r>
                    <w:rPr>
                      <w:rFonts w:hint="eastAsia"/>
                      <w:b/>
                    </w:rPr>
                    <w:t>评价工作分级依据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95" w:type="dxa"/>
                  <w:vAlign w:val="center"/>
                </w:tcPr>
                <w:p>
                  <w:pPr>
                    <w:adjustRightInd w:val="0"/>
                    <w:snapToGrid w:val="0"/>
                    <w:jc w:val="center"/>
                  </w:pPr>
                  <w:r>
                    <w:rPr>
                      <w:rFonts w:hint="eastAsia"/>
                    </w:rPr>
                    <w:t>一级评价</w:t>
                  </w:r>
                </w:p>
              </w:tc>
              <w:tc>
                <w:tcPr>
                  <w:tcW w:w="4096" w:type="dxa"/>
                  <w:vAlign w:val="center"/>
                </w:tcPr>
                <w:p>
                  <w:pPr>
                    <w:adjustRightInd w:val="0"/>
                    <w:snapToGrid w:val="0"/>
                    <w:jc w:val="center"/>
                  </w:pPr>
                  <w:r>
                    <w:rPr>
                      <w:rFonts w:hint="eastAsia"/>
                    </w:rPr>
                    <w:t>Pmax≥10%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95" w:type="dxa"/>
                  <w:vAlign w:val="center"/>
                </w:tcPr>
                <w:p>
                  <w:pPr>
                    <w:adjustRightInd w:val="0"/>
                    <w:snapToGrid w:val="0"/>
                    <w:jc w:val="center"/>
                  </w:pPr>
                  <w:r>
                    <w:rPr>
                      <w:rFonts w:hint="eastAsia"/>
                    </w:rPr>
                    <w:t>二级评价</w:t>
                  </w:r>
                </w:p>
              </w:tc>
              <w:tc>
                <w:tcPr>
                  <w:tcW w:w="4096" w:type="dxa"/>
                  <w:vAlign w:val="center"/>
                </w:tcPr>
                <w:p>
                  <w:pPr>
                    <w:adjustRightInd w:val="0"/>
                    <w:snapToGrid w:val="0"/>
                    <w:jc w:val="center"/>
                  </w:pPr>
                  <w:r>
                    <w:rPr>
                      <w:rFonts w:hint="eastAsia"/>
                    </w:rPr>
                    <w:t>1%≤Pmax＜10%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95" w:type="dxa"/>
                  <w:vAlign w:val="center"/>
                </w:tcPr>
                <w:p>
                  <w:pPr>
                    <w:adjustRightInd w:val="0"/>
                    <w:snapToGrid w:val="0"/>
                    <w:jc w:val="center"/>
                  </w:pPr>
                  <w:r>
                    <w:rPr>
                      <w:rFonts w:hint="eastAsia"/>
                    </w:rPr>
                    <w:t>三级评价</w:t>
                  </w:r>
                </w:p>
              </w:tc>
              <w:tc>
                <w:tcPr>
                  <w:tcW w:w="4096" w:type="dxa"/>
                  <w:vAlign w:val="center"/>
                </w:tcPr>
                <w:p>
                  <w:pPr>
                    <w:adjustRightInd w:val="0"/>
                    <w:snapToGrid w:val="0"/>
                    <w:jc w:val="center"/>
                  </w:pPr>
                  <w:r>
                    <w:rPr>
                      <w:rFonts w:hint="eastAsia"/>
                    </w:rPr>
                    <w:t>Pmax＜1%</w:t>
                  </w:r>
                </w:p>
              </w:tc>
            </w:tr>
          </w:tbl>
          <w:p>
            <w:pPr>
              <w:pStyle w:val="92"/>
              <w:adjustRightInd/>
              <w:spacing w:beforeLines="50" w:line="360" w:lineRule="auto"/>
              <w:ind w:firstLine="480" w:firstLineChars="200"/>
              <w:jc w:val="both"/>
              <w:rPr>
                <w:rFonts w:ascii="Times New Roman" w:hAnsi="Times New Roman"/>
                <w:color w:val="auto"/>
                <w:szCs w:val="23"/>
              </w:rPr>
            </w:pPr>
            <w:r>
              <w:rPr>
                <w:rFonts w:hint="eastAsia" w:ascii="Times New Roman" w:hAnsi="Times New Roman"/>
                <w:color w:val="auto"/>
                <w:szCs w:val="23"/>
              </w:rPr>
              <w:t>（</w:t>
            </w:r>
            <w:r>
              <w:rPr>
                <w:rFonts w:ascii="Times New Roman" w:hAnsi="Times New Roman" w:cs="Times New Roman"/>
                <w:color w:val="auto"/>
                <w:szCs w:val="23"/>
              </w:rPr>
              <w:t>2</w:t>
            </w:r>
            <w:r>
              <w:rPr>
                <w:rFonts w:hint="eastAsia" w:ascii="Times New Roman" w:hAnsi="Times New Roman"/>
                <w:color w:val="auto"/>
                <w:szCs w:val="23"/>
              </w:rPr>
              <w:t>）污染源参数</w:t>
            </w:r>
          </w:p>
          <w:p>
            <w:pPr>
              <w:spacing w:line="360" w:lineRule="auto"/>
              <w:ind w:firstLine="480" w:firstLineChars="200"/>
              <w:rPr>
                <w:sz w:val="24"/>
                <w:szCs w:val="23"/>
              </w:rPr>
            </w:pPr>
            <w:r>
              <w:rPr>
                <w:rFonts w:hint="eastAsia"/>
                <w:sz w:val="24"/>
                <w:szCs w:val="23"/>
              </w:rPr>
              <w:t>主要污染物排放参数见表</w:t>
            </w:r>
            <w:r>
              <w:rPr>
                <w:sz w:val="24"/>
                <w:szCs w:val="23"/>
              </w:rPr>
              <w:t>7-2</w:t>
            </w:r>
            <w:r>
              <w:rPr>
                <w:rFonts w:hint="eastAsia"/>
                <w:sz w:val="24"/>
                <w:szCs w:val="23"/>
              </w:rPr>
              <w:t>，表</w:t>
            </w:r>
            <w:r>
              <w:rPr>
                <w:sz w:val="24"/>
                <w:szCs w:val="23"/>
              </w:rPr>
              <w:t>7-3</w:t>
            </w:r>
            <w:r>
              <w:rPr>
                <w:rFonts w:hint="eastAsia"/>
                <w:sz w:val="24"/>
                <w:szCs w:val="23"/>
              </w:rPr>
              <w:t>。</w:t>
            </w:r>
          </w:p>
          <w:p>
            <w:pPr>
              <w:pStyle w:val="92"/>
              <w:adjustRightInd/>
              <w:jc w:val="center"/>
              <w:rPr>
                <w:b/>
                <w:color w:val="auto"/>
              </w:rPr>
            </w:pPr>
            <w:r>
              <w:rPr>
                <w:rFonts w:hint="eastAsia"/>
                <w:b/>
                <w:color w:val="auto"/>
              </w:rPr>
              <w:t>表</w:t>
            </w:r>
            <w:r>
              <w:rPr>
                <w:rFonts w:ascii="Times New Roman" w:cs="Times New Roman"/>
                <w:b/>
                <w:bCs/>
                <w:color w:val="auto"/>
              </w:rPr>
              <w:t>7-2</w:t>
            </w:r>
            <w:r>
              <w:rPr>
                <w:rFonts w:hint="eastAsia" w:ascii="Times New Roman" w:cs="Times New Roman"/>
                <w:b/>
                <w:bCs/>
                <w:color w:val="auto"/>
              </w:rPr>
              <w:t xml:space="preserve">  </w:t>
            </w:r>
            <w:r>
              <w:rPr>
                <w:rFonts w:hint="eastAsia"/>
                <w:b/>
                <w:color w:val="auto"/>
              </w:rPr>
              <w:t>主要废气污染源参数一览表（点源）</w:t>
            </w:r>
          </w:p>
          <w:tbl>
            <w:tblPr>
              <w:tblStyle w:val="34"/>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16"/>
              <w:gridCol w:w="1153"/>
              <w:gridCol w:w="1061"/>
              <w:gridCol w:w="781"/>
              <w:gridCol w:w="781"/>
              <w:gridCol w:w="781"/>
              <w:gridCol w:w="815"/>
              <w:gridCol w:w="1011"/>
              <w:gridCol w:w="416"/>
              <w:gridCol w:w="9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16" w:type="dxa"/>
                  <w:vMerge w:val="restart"/>
                  <w:vAlign w:val="center"/>
                </w:tcPr>
                <w:p>
                  <w:pPr>
                    <w:adjustRightInd w:val="0"/>
                    <w:snapToGrid w:val="0"/>
                    <w:jc w:val="center"/>
                    <w:rPr>
                      <w:b/>
                      <w:szCs w:val="23"/>
                    </w:rPr>
                  </w:pPr>
                  <w:r>
                    <w:rPr>
                      <w:rFonts w:hint="eastAsia"/>
                      <w:b/>
                      <w:szCs w:val="23"/>
                    </w:rPr>
                    <w:t>污染源名称</w:t>
                  </w:r>
                </w:p>
              </w:tc>
              <w:tc>
                <w:tcPr>
                  <w:tcW w:w="2214" w:type="dxa"/>
                  <w:gridSpan w:val="2"/>
                  <w:vAlign w:val="center"/>
                </w:tcPr>
                <w:p>
                  <w:pPr>
                    <w:adjustRightInd w:val="0"/>
                    <w:snapToGrid w:val="0"/>
                    <w:jc w:val="center"/>
                    <w:rPr>
                      <w:b/>
                      <w:szCs w:val="23"/>
                    </w:rPr>
                  </w:pPr>
                  <w:r>
                    <w:rPr>
                      <w:rFonts w:hint="eastAsia"/>
                      <w:b/>
                      <w:szCs w:val="23"/>
                    </w:rPr>
                    <w:t>排气筒底部中心坐标（°）</w:t>
                  </w:r>
                </w:p>
              </w:tc>
              <w:tc>
                <w:tcPr>
                  <w:tcW w:w="781" w:type="dxa"/>
                  <w:vMerge w:val="restart"/>
                  <w:vAlign w:val="center"/>
                </w:tcPr>
                <w:p>
                  <w:pPr>
                    <w:adjustRightInd w:val="0"/>
                    <w:snapToGrid w:val="0"/>
                    <w:jc w:val="center"/>
                    <w:rPr>
                      <w:b/>
                      <w:szCs w:val="23"/>
                    </w:rPr>
                  </w:pPr>
                  <w:r>
                    <w:rPr>
                      <w:rFonts w:hint="eastAsia"/>
                      <w:b/>
                      <w:szCs w:val="23"/>
                    </w:rPr>
                    <w:t>排气筒底部海拔高度（m）</w:t>
                  </w:r>
                </w:p>
              </w:tc>
              <w:tc>
                <w:tcPr>
                  <w:tcW w:w="3388" w:type="dxa"/>
                  <w:gridSpan w:val="4"/>
                  <w:vAlign w:val="center"/>
                </w:tcPr>
                <w:p>
                  <w:pPr>
                    <w:adjustRightInd w:val="0"/>
                    <w:snapToGrid w:val="0"/>
                    <w:jc w:val="center"/>
                    <w:rPr>
                      <w:b/>
                      <w:szCs w:val="23"/>
                    </w:rPr>
                  </w:pPr>
                  <w:r>
                    <w:rPr>
                      <w:rFonts w:hint="eastAsia"/>
                      <w:b/>
                      <w:szCs w:val="23"/>
                    </w:rPr>
                    <w:t>排气筒参数</w:t>
                  </w:r>
                </w:p>
              </w:tc>
              <w:tc>
                <w:tcPr>
                  <w:tcW w:w="416" w:type="dxa"/>
                  <w:vMerge w:val="restart"/>
                  <w:vAlign w:val="center"/>
                </w:tcPr>
                <w:p>
                  <w:pPr>
                    <w:adjustRightInd w:val="0"/>
                    <w:snapToGrid w:val="0"/>
                    <w:jc w:val="center"/>
                    <w:rPr>
                      <w:b/>
                      <w:szCs w:val="23"/>
                    </w:rPr>
                  </w:pPr>
                  <w:r>
                    <w:rPr>
                      <w:rFonts w:hint="eastAsia"/>
                      <w:b/>
                      <w:szCs w:val="23"/>
                    </w:rPr>
                    <w:t>污染物名称</w:t>
                  </w:r>
                </w:p>
              </w:tc>
              <w:tc>
                <w:tcPr>
                  <w:tcW w:w="991" w:type="dxa"/>
                  <w:vMerge w:val="restart"/>
                  <w:vAlign w:val="center"/>
                </w:tcPr>
                <w:p>
                  <w:pPr>
                    <w:adjustRightInd w:val="0"/>
                    <w:snapToGrid w:val="0"/>
                    <w:jc w:val="center"/>
                    <w:rPr>
                      <w:b/>
                      <w:szCs w:val="23"/>
                    </w:rPr>
                  </w:pPr>
                  <w:r>
                    <w:rPr>
                      <w:rFonts w:hint="eastAsia"/>
                      <w:b/>
                      <w:szCs w:val="23"/>
                    </w:rPr>
                    <w:t>排放速率（kg/h）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16" w:type="dxa"/>
                  <w:vMerge w:val="continue"/>
                  <w:vAlign w:val="center"/>
                </w:tcPr>
                <w:p>
                  <w:pPr>
                    <w:adjustRightInd w:val="0"/>
                    <w:snapToGrid w:val="0"/>
                    <w:jc w:val="center"/>
                    <w:rPr>
                      <w:szCs w:val="23"/>
                    </w:rPr>
                  </w:pPr>
                </w:p>
              </w:tc>
              <w:tc>
                <w:tcPr>
                  <w:tcW w:w="1153" w:type="dxa"/>
                  <w:vAlign w:val="center"/>
                </w:tcPr>
                <w:p>
                  <w:pPr>
                    <w:adjustRightInd w:val="0"/>
                    <w:snapToGrid w:val="0"/>
                    <w:jc w:val="center"/>
                    <w:rPr>
                      <w:b/>
                      <w:szCs w:val="23"/>
                    </w:rPr>
                  </w:pPr>
                  <w:r>
                    <w:rPr>
                      <w:rFonts w:hint="eastAsia"/>
                      <w:b/>
                      <w:szCs w:val="23"/>
                    </w:rPr>
                    <w:t>经度</w:t>
                  </w:r>
                </w:p>
              </w:tc>
              <w:tc>
                <w:tcPr>
                  <w:tcW w:w="1061" w:type="dxa"/>
                  <w:vAlign w:val="center"/>
                </w:tcPr>
                <w:p>
                  <w:pPr>
                    <w:adjustRightInd w:val="0"/>
                    <w:snapToGrid w:val="0"/>
                    <w:jc w:val="center"/>
                    <w:rPr>
                      <w:b/>
                      <w:szCs w:val="23"/>
                    </w:rPr>
                  </w:pPr>
                  <w:r>
                    <w:rPr>
                      <w:rFonts w:hint="eastAsia"/>
                      <w:b/>
                      <w:szCs w:val="23"/>
                    </w:rPr>
                    <w:t>纬度</w:t>
                  </w:r>
                </w:p>
              </w:tc>
              <w:tc>
                <w:tcPr>
                  <w:tcW w:w="781" w:type="dxa"/>
                  <w:vMerge w:val="continue"/>
                  <w:vAlign w:val="center"/>
                </w:tcPr>
                <w:p>
                  <w:pPr>
                    <w:adjustRightInd w:val="0"/>
                    <w:snapToGrid w:val="0"/>
                    <w:jc w:val="center"/>
                    <w:rPr>
                      <w:b/>
                      <w:szCs w:val="23"/>
                    </w:rPr>
                  </w:pPr>
                </w:p>
              </w:tc>
              <w:tc>
                <w:tcPr>
                  <w:tcW w:w="781" w:type="dxa"/>
                  <w:vAlign w:val="center"/>
                </w:tcPr>
                <w:p>
                  <w:pPr>
                    <w:adjustRightInd w:val="0"/>
                    <w:snapToGrid w:val="0"/>
                    <w:jc w:val="center"/>
                    <w:rPr>
                      <w:b/>
                      <w:szCs w:val="23"/>
                    </w:rPr>
                  </w:pPr>
                  <w:r>
                    <w:rPr>
                      <w:rFonts w:hint="eastAsia"/>
                      <w:b/>
                      <w:szCs w:val="23"/>
                    </w:rPr>
                    <w:t>高度（m）</w:t>
                  </w:r>
                </w:p>
              </w:tc>
              <w:tc>
                <w:tcPr>
                  <w:tcW w:w="781" w:type="dxa"/>
                  <w:vAlign w:val="center"/>
                </w:tcPr>
                <w:p>
                  <w:pPr>
                    <w:adjustRightInd w:val="0"/>
                    <w:snapToGrid w:val="0"/>
                    <w:jc w:val="center"/>
                    <w:rPr>
                      <w:b/>
                      <w:szCs w:val="23"/>
                    </w:rPr>
                  </w:pPr>
                  <w:r>
                    <w:rPr>
                      <w:rFonts w:hint="eastAsia"/>
                      <w:b/>
                      <w:szCs w:val="23"/>
                    </w:rPr>
                    <w:t>内径（m）</w:t>
                  </w:r>
                </w:p>
              </w:tc>
              <w:tc>
                <w:tcPr>
                  <w:tcW w:w="815" w:type="dxa"/>
                  <w:vAlign w:val="center"/>
                </w:tcPr>
                <w:p>
                  <w:pPr>
                    <w:adjustRightInd w:val="0"/>
                    <w:snapToGrid w:val="0"/>
                    <w:jc w:val="center"/>
                    <w:rPr>
                      <w:b/>
                      <w:szCs w:val="23"/>
                    </w:rPr>
                  </w:pPr>
                  <w:r>
                    <w:rPr>
                      <w:rFonts w:hint="eastAsia"/>
                      <w:b/>
                      <w:szCs w:val="23"/>
                    </w:rPr>
                    <w:t>温度（℃）</w:t>
                  </w:r>
                </w:p>
              </w:tc>
              <w:tc>
                <w:tcPr>
                  <w:tcW w:w="1011" w:type="dxa"/>
                  <w:vAlign w:val="center"/>
                </w:tcPr>
                <w:p>
                  <w:pPr>
                    <w:adjustRightInd w:val="0"/>
                    <w:snapToGrid w:val="0"/>
                    <w:jc w:val="center"/>
                    <w:rPr>
                      <w:b/>
                      <w:szCs w:val="23"/>
                    </w:rPr>
                  </w:pPr>
                  <w:r>
                    <w:rPr>
                      <w:rFonts w:hint="eastAsia"/>
                      <w:b/>
                      <w:szCs w:val="23"/>
                    </w:rPr>
                    <w:t>流量（m</w:t>
                  </w:r>
                  <w:r>
                    <w:rPr>
                      <w:rFonts w:hint="eastAsia"/>
                      <w:b/>
                      <w:szCs w:val="23"/>
                      <w:vertAlign w:val="superscript"/>
                    </w:rPr>
                    <w:t>3</w:t>
                  </w:r>
                  <w:r>
                    <w:rPr>
                      <w:rFonts w:hint="eastAsia"/>
                      <w:b/>
                      <w:szCs w:val="23"/>
                    </w:rPr>
                    <w:t>/h）</w:t>
                  </w:r>
                </w:p>
              </w:tc>
              <w:tc>
                <w:tcPr>
                  <w:tcW w:w="416" w:type="dxa"/>
                  <w:vMerge w:val="continue"/>
                  <w:vAlign w:val="center"/>
                </w:tcPr>
                <w:p>
                  <w:pPr>
                    <w:adjustRightInd w:val="0"/>
                    <w:snapToGrid w:val="0"/>
                    <w:jc w:val="center"/>
                    <w:rPr>
                      <w:szCs w:val="23"/>
                    </w:rPr>
                  </w:pPr>
                </w:p>
              </w:tc>
              <w:tc>
                <w:tcPr>
                  <w:tcW w:w="991" w:type="dxa"/>
                  <w:vMerge w:val="continue"/>
                  <w:vAlign w:val="center"/>
                </w:tcPr>
                <w:p>
                  <w:pPr>
                    <w:adjustRightInd w:val="0"/>
                    <w:snapToGrid w:val="0"/>
                    <w:jc w:val="center"/>
                    <w:rPr>
                      <w:szCs w:val="23"/>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16" w:type="dxa"/>
                  <w:vAlign w:val="center"/>
                </w:tcPr>
                <w:p>
                  <w:pPr>
                    <w:adjustRightInd w:val="0"/>
                    <w:snapToGrid w:val="0"/>
                    <w:jc w:val="center"/>
                    <w:rPr>
                      <w:szCs w:val="23"/>
                    </w:rPr>
                  </w:pPr>
                  <w:r>
                    <w:rPr>
                      <w:rFonts w:hint="eastAsia"/>
                      <w:szCs w:val="23"/>
                    </w:rPr>
                    <w:t>点源1</w:t>
                  </w:r>
                </w:p>
              </w:tc>
              <w:tc>
                <w:tcPr>
                  <w:tcW w:w="1153" w:type="dxa"/>
                  <w:vAlign w:val="center"/>
                </w:tcPr>
                <w:p>
                  <w:pPr>
                    <w:adjustRightInd w:val="0"/>
                    <w:snapToGrid w:val="0"/>
                    <w:jc w:val="center"/>
                    <w:rPr>
                      <w:rFonts w:hint="default" w:eastAsia="宋体"/>
                      <w:szCs w:val="23"/>
                      <w:lang w:val="en-US" w:eastAsia="zh-CN"/>
                    </w:rPr>
                  </w:pPr>
                  <w:r>
                    <w:rPr>
                      <w:rFonts w:hint="eastAsia"/>
                      <w:szCs w:val="23"/>
                    </w:rPr>
                    <w:t>118.84</w:t>
                  </w:r>
                  <w:r>
                    <w:rPr>
                      <w:rFonts w:hint="eastAsia"/>
                      <w:szCs w:val="23"/>
                      <w:lang w:val="en-US" w:eastAsia="zh-CN"/>
                    </w:rPr>
                    <w:t>6023</w:t>
                  </w:r>
                </w:p>
              </w:tc>
              <w:tc>
                <w:tcPr>
                  <w:tcW w:w="1061" w:type="dxa"/>
                  <w:vAlign w:val="center"/>
                </w:tcPr>
                <w:p>
                  <w:pPr>
                    <w:adjustRightInd w:val="0"/>
                    <w:snapToGrid w:val="0"/>
                    <w:jc w:val="center"/>
                    <w:rPr>
                      <w:rFonts w:hint="default" w:eastAsia="宋体"/>
                      <w:szCs w:val="23"/>
                      <w:lang w:val="en-US" w:eastAsia="zh-CN"/>
                    </w:rPr>
                  </w:pPr>
                  <w:r>
                    <w:rPr>
                      <w:rFonts w:hint="eastAsia"/>
                      <w:szCs w:val="23"/>
                    </w:rPr>
                    <w:t>34.208</w:t>
                  </w:r>
                  <w:r>
                    <w:rPr>
                      <w:rFonts w:hint="eastAsia"/>
                      <w:szCs w:val="23"/>
                      <w:lang w:val="en-US" w:eastAsia="zh-CN"/>
                    </w:rPr>
                    <w:t>649</w:t>
                  </w:r>
                </w:p>
              </w:tc>
              <w:tc>
                <w:tcPr>
                  <w:tcW w:w="781" w:type="dxa"/>
                  <w:vAlign w:val="center"/>
                </w:tcPr>
                <w:p>
                  <w:pPr>
                    <w:adjustRightInd w:val="0"/>
                    <w:snapToGrid w:val="0"/>
                    <w:jc w:val="center"/>
                    <w:rPr>
                      <w:rFonts w:hint="eastAsia" w:eastAsia="宋体"/>
                      <w:szCs w:val="23"/>
                      <w:lang w:eastAsia="zh-CN"/>
                    </w:rPr>
                  </w:pPr>
                  <w:r>
                    <w:rPr>
                      <w:rFonts w:hint="eastAsia"/>
                      <w:szCs w:val="23"/>
                      <w:lang w:val="en-US" w:eastAsia="zh-CN"/>
                    </w:rPr>
                    <w:t>6</w:t>
                  </w:r>
                </w:p>
              </w:tc>
              <w:tc>
                <w:tcPr>
                  <w:tcW w:w="781" w:type="dxa"/>
                  <w:vAlign w:val="center"/>
                </w:tcPr>
                <w:p>
                  <w:pPr>
                    <w:adjustRightInd w:val="0"/>
                    <w:snapToGrid w:val="0"/>
                    <w:jc w:val="center"/>
                    <w:rPr>
                      <w:szCs w:val="23"/>
                    </w:rPr>
                  </w:pPr>
                  <w:r>
                    <w:rPr>
                      <w:rFonts w:hint="eastAsia"/>
                      <w:szCs w:val="23"/>
                    </w:rPr>
                    <w:t>15</w:t>
                  </w:r>
                </w:p>
              </w:tc>
              <w:tc>
                <w:tcPr>
                  <w:tcW w:w="781" w:type="dxa"/>
                  <w:vAlign w:val="center"/>
                </w:tcPr>
                <w:p>
                  <w:pPr>
                    <w:adjustRightInd w:val="0"/>
                    <w:snapToGrid w:val="0"/>
                    <w:jc w:val="center"/>
                    <w:rPr>
                      <w:szCs w:val="23"/>
                    </w:rPr>
                  </w:pPr>
                  <w:r>
                    <w:rPr>
                      <w:rFonts w:hint="eastAsia"/>
                      <w:szCs w:val="23"/>
                    </w:rPr>
                    <w:t>0.5</w:t>
                  </w:r>
                </w:p>
              </w:tc>
              <w:tc>
                <w:tcPr>
                  <w:tcW w:w="815" w:type="dxa"/>
                  <w:vAlign w:val="center"/>
                </w:tcPr>
                <w:p>
                  <w:pPr>
                    <w:adjustRightInd w:val="0"/>
                    <w:snapToGrid w:val="0"/>
                    <w:jc w:val="center"/>
                    <w:rPr>
                      <w:szCs w:val="23"/>
                    </w:rPr>
                  </w:pPr>
                  <w:r>
                    <w:rPr>
                      <w:rFonts w:hint="eastAsia"/>
                      <w:szCs w:val="23"/>
                    </w:rPr>
                    <w:t>40</w:t>
                  </w:r>
                </w:p>
              </w:tc>
              <w:tc>
                <w:tcPr>
                  <w:tcW w:w="1011" w:type="dxa"/>
                  <w:vAlign w:val="center"/>
                </w:tcPr>
                <w:p>
                  <w:pPr>
                    <w:adjustRightInd w:val="0"/>
                    <w:snapToGrid w:val="0"/>
                    <w:jc w:val="center"/>
                    <w:rPr>
                      <w:szCs w:val="23"/>
                    </w:rPr>
                  </w:pPr>
                  <w:r>
                    <w:rPr>
                      <w:rFonts w:hint="eastAsia"/>
                      <w:szCs w:val="23"/>
                    </w:rPr>
                    <w:t>5000</w:t>
                  </w:r>
                </w:p>
              </w:tc>
              <w:tc>
                <w:tcPr>
                  <w:tcW w:w="416" w:type="dxa"/>
                  <w:vAlign w:val="center"/>
                </w:tcPr>
                <w:p>
                  <w:pPr>
                    <w:adjustRightInd w:val="0"/>
                    <w:snapToGrid w:val="0"/>
                    <w:jc w:val="center"/>
                    <w:rPr>
                      <w:rFonts w:hint="eastAsia" w:eastAsia="宋体"/>
                      <w:szCs w:val="23"/>
                      <w:lang w:eastAsia="zh-CN"/>
                    </w:rPr>
                  </w:pPr>
                  <w:r>
                    <w:rPr>
                      <w:rFonts w:hint="eastAsia"/>
                      <w:szCs w:val="23"/>
                      <w:lang w:eastAsia="zh-CN"/>
                    </w:rPr>
                    <w:t>粉尘</w:t>
                  </w:r>
                </w:p>
              </w:tc>
              <w:tc>
                <w:tcPr>
                  <w:tcW w:w="991" w:type="dxa"/>
                  <w:vAlign w:val="center"/>
                </w:tcPr>
                <w:p>
                  <w:pPr>
                    <w:widowControl/>
                    <w:adjustRightInd w:val="0"/>
                    <w:snapToGrid w:val="0"/>
                    <w:jc w:val="center"/>
                    <w:rPr>
                      <w:rFonts w:hint="default" w:eastAsia="宋体"/>
                      <w:szCs w:val="21"/>
                      <w:lang w:val="en-US" w:eastAsia="zh-CN"/>
                    </w:rPr>
                  </w:pPr>
                  <w:r>
                    <w:rPr>
                      <w:rFonts w:hint="eastAsia"/>
                      <w:szCs w:val="21"/>
                    </w:rPr>
                    <w:t>0.0</w:t>
                  </w:r>
                  <w:r>
                    <w:rPr>
                      <w:rFonts w:hint="eastAsia"/>
                      <w:szCs w:val="21"/>
                      <w:lang w:val="en-US" w:eastAsia="zh-CN"/>
                    </w:rPr>
                    <w:t>12</w:t>
                  </w:r>
                </w:p>
              </w:tc>
            </w:tr>
          </w:tbl>
          <w:p>
            <w:pPr>
              <w:pStyle w:val="92"/>
              <w:adjustRightInd/>
              <w:rPr>
                <w:b/>
                <w:color w:val="auto"/>
              </w:rPr>
            </w:pPr>
          </w:p>
          <w:p>
            <w:pPr>
              <w:pStyle w:val="92"/>
              <w:adjustRightInd/>
              <w:rPr>
                <w:b/>
                <w:color w:val="auto"/>
              </w:rPr>
            </w:pPr>
          </w:p>
          <w:p>
            <w:pPr>
              <w:pStyle w:val="92"/>
              <w:adjustRightInd/>
              <w:rPr>
                <w:b/>
                <w:color w:val="auto"/>
              </w:rPr>
            </w:pPr>
          </w:p>
          <w:p>
            <w:pPr>
              <w:pStyle w:val="92"/>
              <w:adjustRightInd/>
              <w:rPr>
                <w:b/>
                <w:color w:val="auto"/>
              </w:rPr>
            </w:pPr>
          </w:p>
          <w:p>
            <w:pPr>
              <w:pStyle w:val="92"/>
              <w:adjustRightInd/>
              <w:rPr>
                <w:b/>
                <w:color w:val="auto"/>
              </w:rPr>
            </w:pPr>
          </w:p>
          <w:p>
            <w:pPr>
              <w:pStyle w:val="92"/>
              <w:adjustRightInd/>
              <w:rPr>
                <w:b/>
                <w:color w:val="auto"/>
              </w:rPr>
            </w:pPr>
          </w:p>
          <w:p>
            <w:pPr>
              <w:pStyle w:val="92"/>
              <w:adjustRightInd/>
              <w:jc w:val="center"/>
              <w:rPr>
                <w:rFonts w:ascii="宋体" w:hAnsi="宋体"/>
                <w:b/>
                <w:color w:val="auto"/>
              </w:rPr>
            </w:pPr>
            <w:r>
              <w:rPr>
                <w:rFonts w:hint="eastAsia"/>
                <w:b/>
                <w:color w:val="auto"/>
              </w:rPr>
              <w:t>表</w:t>
            </w:r>
            <w:r>
              <w:rPr>
                <w:rFonts w:ascii="Times New Roman" w:cs="Times New Roman"/>
                <w:b/>
                <w:bCs/>
                <w:color w:val="auto"/>
              </w:rPr>
              <w:t xml:space="preserve">7-3 </w:t>
            </w:r>
            <w:r>
              <w:rPr>
                <w:rFonts w:hint="eastAsia" w:ascii="Times New Roman" w:cs="Times New Roman"/>
                <w:b/>
                <w:bCs/>
                <w:color w:val="auto"/>
              </w:rPr>
              <w:t xml:space="preserve"> </w:t>
            </w:r>
            <w:r>
              <w:rPr>
                <w:rFonts w:hint="eastAsia"/>
                <w:b/>
                <w:color w:val="auto"/>
              </w:rPr>
              <w:t>主要废气污染源参数一览表</w:t>
            </w:r>
            <w:r>
              <w:rPr>
                <w:rFonts w:ascii="宋体" w:hAnsi="宋体" w:cs="Times New Roman"/>
                <w:b/>
                <w:bCs/>
                <w:color w:val="auto"/>
              </w:rPr>
              <w:t>(</w:t>
            </w:r>
            <w:r>
              <w:rPr>
                <w:rFonts w:hint="eastAsia" w:ascii="宋体" w:hAnsi="宋体"/>
                <w:b/>
                <w:color w:val="auto"/>
              </w:rPr>
              <w:t>矩形面源</w:t>
            </w:r>
            <w:r>
              <w:rPr>
                <w:rFonts w:ascii="宋体" w:hAnsi="宋体" w:cs="Times New Roman"/>
                <w:b/>
                <w:bCs/>
                <w:color w:val="auto"/>
              </w:rPr>
              <w:t xml:space="preserve">) </w:t>
            </w:r>
          </w:p>
          <w:tbl>
            <w:tblPr>
              <w:tblStyle w:val="3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1206"/>
              <w:gridCol w:w="1110"/>
              <w:gridCol w:w="821"/>
              <w:gridCol w:w="821"/>
              <w:gridCol w:w="821"/>
              <w:gridCol w:w="823"/>
              <w:gridCol w:w="790"/>
              <w:gridCol w:w="10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74" w:type="pct"/>
                  <w:vMerge w:val="restart"/>
                  <w:vAlign w:val="center"/>
                </w:tcPr>
                <w:p>
                  <w:pPr>
                    <w:adjustRightInd w:val="0"/>
                    <w:snapToGrid w:val="0"/>
                    <w:jc w:val="center"/>
                    <w:rPr>
                      <w:b/>
                      <w:szCs w:val="23"/>
                    </w:rPr>
                  </w:pPr>
                  <w:r>
                    <w:rPr>
                      <w:rFonts w:hint="eastAsia"/>
                      <w:b/>
                      <w:szCs w:val="23"/>
                    </w:rPr>
                    <w:t>污染源名称</w:t>
                  </w:r>
                </w:p>
              </w:tc>
              <w:tc>
                <w:tcPr>
                  <w:tcW w:w="1410" w:type="pct"/>
                  <w:gridSpan w:val="2"/>
                  <w:vAlign w:val="center"/>
                </w:tcPr>
                <w:p>
                  <w:pPr>
                    <w:adjustRightInd w:val="0"/>
                    <w:snapToGrid w:val="0"/>
                    <w:jc w:val="center"/>
                    <w:rPr>
                      <w:b/>
                      <w:szCs w:val="23"/>
                    </w:rPr>
                  </w:pPr>
                  <w:r>
                    <w:rPr>
                      <w:rFonts w:hint="eastAsia"/>
                      <w:b/>
                      <w:szCs w:val="23"/>
                    </w:rPr>
                    <w:t>坐标</w:t>
                  </w:r>
                </w:p>
              </w:tc>
              <w:tc>
                <w:tcPr>
                  <w:tcW w:w="500" w:type="pct"/>
                  <w:vMerge w:val="restart"/>
                  <w:vAlign w:val="center"/>
                </w:tcPr>
                <w:p>
                  <w:pPr>
                    <w:adjustRightInd w:val="0"/>
                    <w:snapToGrid w:val="0"/>
                    <w:jc w:val="center"/>
                    <w:rPr>
                      <w:b/>
                      <w:szCs w:val="23"/>
                    </w:rPr>
                  </w:pPr>
                  <w:r>
                    <w:rPr>
                      <w:rFonts w:hint="eastAsia"/>
                      <w:b/>
                      <w:szCs w:val="23"/>
                    </w:rPr>
                    <w:t>海拔高度（m）</w:t>
                  </w:r>
                </w:p>
              </w:tc>
              <w:tc>
                <w:tcPr>
                  <w:tcW w:w="1501" w:type="pct"/>
                  <w:gridSpan w:val="3"/>
                  <w:vAlign w:val="center"/>
                </w:tcPr>
                <w:p>
                  <w:pPr>
                    <w:adjustRightInd w:val="0"/>
                    <w:snapToGrid w:val="0"/>
                    <w:jc w:val="center"/>
                    <w:rPr>
                      <w:b/>
                      <w:szCs w:val="23"/>
                    </w:rPr>
                  </w:pPr>
                  <w:r>
                    <w:rPr>
                      <w:rFonts w:hint="eastAsia"/>
                      <w:b/>
                      <w:szCs w:val="23"/>
                    </w:rPr>
                    <w:t>矩形面源</w:t>
                  </w:r>
                </w:p>
              </w:tc>
              <w:tc>
                <w:tcPr>
                  <w:tcW w:w="481" w:type="pct"/>
                  <w:vMerge w:val="restart"/>
                  <w:vAlign w:val="center"/>
                </w:tcPr>
                <w:p>
                  <w:pPr>
                    <w:adjustRightInd w:val="0"/>
                    <w:snapToGrid w:val="0"/>
                    <w:jc w:val="center"/>
                    <w:rPr>
                      <w:b/>
                      <w:szCs w:val="23"/>
                    </w:rPr>
                  </w:pPr>
                  <w:r>
                    <w:rPr>
                      <w:rFonts w:hint="eastAsia"/>
                      <w:b/>
                      <w:szCs w:val="23"/>
                    </w:rPr>
                    <w:t>污染物名称</w:t>
                  </w:r>
                </w:p>
              </w:tc>
              <w:tc>
                <w:tcPr>
                  <w:tcW w:w="631" w:type="pct"/>
                  <w:vMerge w:val="restart"/>
                  <w:vAlign w:val="center"/>
                </w:tcPr>
                <w:p>
                  <w:pPr>
                    <w:adjustRightInd w:val="0"/>
                    <w:snapToGrid w:val="0"/>
                    <w:jc w:val="center"/>
                    <w:rPr>
                      <w:b/>
                      <w:szCs w:val="23"/>
                    </w:rPr>
                  </w:pPr>
                  <w:r>
                    <w:rPr>
                      <w:rFonts w:hint="eastAsia"/>
                      <w:b/>
                      <w:szCs w:val="23"/>
                    </w:rPr>
                    <w:t>排放速率（kg/h）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74" w:type="pct"/>
                  <w:vMerge w:val="continue"/>
                  <w:vAlign w:val="center"/>
                </w:tcPr>
                <w:p>
                  <w:pPr>
                    <w:adjustRightInd w:val="0"/>
                    <w:snapToGrid w:val="0"/>
                    <w:jc w:val="center"/>
                    <w:rPr>
                      <w:szCs w:val="23"/>
                    </w:rPr>
                  </w:pPr>
                </w:p>
              </w:tc>
              <w:tc>
                <w:tcPr>
                  <w:tcW w:w="734" w:type="pct"/>
                  <w:vAlign w:val="center"/>
                </w:tcPr>
                <w:p>
                  <w:pPr>
                    <w:adjustRightInd w:val="0"/>
                    <w:snapToGrid w:val="0"/>
                    <w:jc w:val="center"/>
                    <w:rPr>
                      <w:b/>
                      <w:szCs w:val="23"/>
                    </w:rPr>
                  </w:pPr>
                  <w:r>
                    <w:rPr>
                      <w:rFonts w:hint="eastAsia"/>
                      <w:b/>
                      <w:szCs w:val="23"/>
                    </w:rPr>
                    <w:t>X</w:t>
                  </w:r>
                </w:p>
              </w:tc>
              <w:tc>
                <w:tcPr>
                  <w:tcW w:w="675" w:type="pct"/>
                  <w:vAlign w:val="center"/>
                </w:tcPr>
                <w:p>
                  <w:pPr>
                    <w:adjustRightInd w:val="0"/>
                    <w:snapToGrid w:val="0"/>
                    <w:jc w:val="center"/>
                    <w:rPr>
                      <w:b/>
                      <w:szCs w:val="23"/>
                    </w:rPr>
                  </w:pPr>
                  <w:r>
                    <w:rPr>
                      <w:rFonts w:hint="eastAsia"/>
                      <w:b/>
                      <w:szCs w:val="23"/>
                    </w:rPr>
                    <w:t>Y</w:t>
                  </w:r>
                </w:p>
              </w:tc>
              <w:tc>
                <w:tcPr>
                  <w:tcW w:w="500" w:type="pct"/>
                  <w:vMerge w:val="continue"/>
                  <w:vAlign w:val="center"/>
                </w:tcPr>
                <w:p>
                  <w:pPr>
                    <w:adjustRightInd w:val="0"/>
                    <w:snapToGrid w:val="0"/>
                    <w:jc w:val="center"/>
                    <w:rPr>
                      <w:b/>
                      <w:szCs w:val="23"/>
                    </w:rPr>
                  </w:pPr>
                </w:p>
              </w:tc>
              <w:tc>
                <w:tcPr>
                  <w:tcW w:w="500" w:type="pct"/>
                  <w:vAlign w:val="center"/>
                </w:tcPr>
                <w:p>
                  <w:pPr>
                    <w:adjustRightInd w:val="0"/>
                    <w:snapToGrid w:val="0"/>
                    <w:jc w:val="center"/>
                    <w:rPr>
                      <w:b/>
                      <w:szCs w:val="23"/>
                    </w:rPr>
                  </w:pPr>
                  <w:r>
                    <w:rPr>
                      <w:rFonts w:hint="eastAsia"/>
                      <w:b/>
                      <w:szCs w:val="23"/>
                    </w:rPr>
                    <w:t>长度（m）</w:t>
                  </w:r>
                </w:p>
              </w:tc>
              <w:tc>
                <w:tcPr>
                  <w:tcW w:w="500" w:type="pct"/>
                  <w:vAlign w:val="center"/>
                </w:tcPr>
                <w:p>
                  <w:pPr>
                    <w:adjustRightInd w:val="0"/>
                    <w:snapToGrid w:val="0"/>
                    <w:jc w:val="center"/>
                    <w:rPr>
                      <w:b/>
                      <w:szCs w:val="23"/>
                    </w:rPr>
                  </w:pPr>
                  <w:r>
                    <w:rPr>
                      <w:rFonts w:hint="eastAsia"/>
                      <w:b/>
                      <w:szCs w:val="23"/>
                    </w:rPr>
                    <w:t>宽度（m）</w:t>
                  </w:r>
                </w:p>
              </w:tc>
              <w:tc>
                <w:tcPr>
                  <w:tcW w:w="500" w:type="pct"/>
                  <w:vAlign w:val="center"/>
                </w:tcPr>
                <w:p>
                  <w:pPr>
                    <w:adjustRightInd w:val="0"/>
                    <w:snapToGrid w:val="0"/>
                    <w:jc w:val="center"/>
                    <w:rPr>
                      <w:b/>
                      <w:szCs w:val="23"/>
                    </w:rPr>
                  </w:pPr>
                  <w:r>
                    <w:rPr>
                      <w:rFonts w:hint="eastAsia"/>
                      <w:b/>
                      <w:szCs w:val="23"/>
                    </w:rPr>
                    <w:t>有效高度（m）</w:t>
                  </w:r>
                </w:p>
              </w:tc>
              <w:tc>
                <w:tcPr>
                  <w:tcW w:w="481" w:type="pct"/>
                  <w:vMerge w:val="continue"/>
                  <w:vAlign w:val="center"/>
                </w:tcPr>
                <w:p>
                  <w:pPr>
                    <w:adjustRightInd w:val="0"/>
                    <w:snapToGrid w:val="0"/>
                    <w:jc w:val="center"/>
                    <w:rPr>
                      <w:szCs w:val="23"/>
                    </w:rPr>
                  </w:pPr>
                </w:p>
              </w:tc>
              <w:tc>
                <w:tcPr>
                  <w:tcW w:w="631" w:type="pct"/>
                  <w:vMerge w:val="continue"/>
                  <w:vAlign w:val="center"/>
                </w:tcPr>
                <w:p>
                  <w:pPr>
                    <w:adjustRightInd w:val="0"/>
                    <w:snapToGrid w:val="0"/>
                    <w:jc w:val="center"/>
                    <w:rPr>
                      <w:szCs w:val="23"/>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adjustRightInd w:val="0"/>
                    <w:snapToGrid w:val="0"/>
                    <w:jc w:val="center"/>
                    <w:rPr>
                      <w:szCs w:val="23"/>
                    </w:rPr>
                  </w:pPr>
                  <w:r>
                    <w:rPr>
                      <w:rFonts w:hint="eastAsia"/>
                      <w:szCs w:val="23"/>
                    </w:rPr>
                    <w:t>矩形面源</w:t>
                  </w:r>
                </w:p>
              </w:tc>
              <w:tc>
                <w:tcPr>
                  <w:tcW w:w="734" w:type="pct"/>
                  <w:vAlign w:val="center"/>
                </w:tcPr>
                <w:p>
                  <w:pPr>
                    <w:adjustRightInd w:val="0"/>
                    <w:snapToGrid w:val="0"/>
                    <w:jc w:val="center"/>
                    <w:rPr>
                      <w:rFonts w:hint="default" w:eastAsia="宋体"/>
                      <w:szCs w:val="23"/>
                      <w:lang w:val="en-US" w:eastAsia="zh-CN"/>
                    </w:rPr>
                  </w:pPr>
                  <w:r>
                    <w:rPr>
                      <w:rFonts w:hint="eastAsia"/>
                      <w:szCs w:val="23"/>
                    </w:rPr>
                    <w:t>118.845</w:t>
                  </w:r>
                  <w:r>
                    <w:rPr>
                      <w:rFonts w:hint="eastAsia"/>
                      <w:szCs w:val="23"/>
                      <w:lang w:val="en-US" w:eastAsia="zh-CN"/>
                    </w:rPr>
                    <w:t>763</w:t>
                  </w:r>
                </w:p>
              </w:tc>
              <w:tc>
                <w:tcPr>
                  <w:tcW w:w="675" w:type="pct"/>
                  <w:vAlign w:val="center"/>
                </w:tcPr>
                <w:p>
                  <w:pPr>
                    <w:adjustRightInd w:val="0"/>
                    <w:snapToGrid w:val="0"/>
                    <w:jc w:val="center"/>
                    <w:rPr>
                      <w:rFonts w:hint="default" w:eastAsia="宋体"/>
                      <w:szCs w:val="23"/>
                      <w:lang w:val="en-US" w:eastAsia="zh-CN"/>
                    </w:rPr>
                  </w:pPr>
                  <w:r>
                    <w:rPr>
                      <w:rFonts w:hint="eastAsia"/>
                      <w:szCs w:val="23"/>
                    </w:rPr>
                    <w:t>34.208</w:t>
                  </w:r>
                  <w:r>
                    <w:rPr>
                      <w:rFonts w:hint="eastAsia"/>
                      <w:szCs w:val="23"/>
                      <w:lang w:val="en-US" w:eastAsia="zh-CN"/>
                    </w:rPr>
                    <w:t>730</w:t>
                  </w:r>
                </w:p>
              </w:tc>
              <w:tc>
                <w:tcPr>
                  <w:tcW w:w="500" w:type="pct"/>
                  <w:vAlign w:val="center"/>
                </w:tcPr>
                <w:p>
                  <w:pPr>
                    <w:adjustRightInd w:val="0"/>
                    <w:snapToGrid w:val="0"/>
                    <w:jc w:val="center"/>
                    <w:rPr>
                      <w:rFonts w:hint="eastAsia" w:eastAsia="宋体"/>
                      <w:szCs w:val="23"/>
                      <w:lang w:eastAsia="zh-CN"/>
                    </w:rPr>
                  </w:pPr>
                  <w:r>
                    <w:rPr>
                      <w:rFonts w:hint="eastAsia"/>
                      <w:szCs w:val="23"/>
                      <w:lang w:val="en-US" w:eastAsia="zh-CN"/>
                    </w:rPr>
                    <w:t>6</w:t>
                  </w:r>
                </w:p>
              </w:tc>
              <w:tc>
                <w:tcPr>
                  <w:tcW w:w="500" w:type="pct"/>
                  <w:vAlign w:val="center"/>
                </w:tcPr>
                <w:p>
                  <w:pPr>
                    <w:adjustRightInd w:val="0"/>
                    <w:snapToGrid w:val="0"/>
                    <w:jc w:val="center"/>
                    <w:rPr>
                      <w:rFonts w:hint="default" w:eastAsia="宋体"/>
                      <w:szCs w:val="23"/>
                      <w:lang w:val="en-US" w:eastAsia="zh-CN"/>
                    </w:rPr>
                  </w:pPr>
                  <w:r>
                    <w:rPr>
                      <w:rFonts w:hint="eastAsia"/>
                      <w:szCs w:val="23"/>
                      <w:lang w:val="en-US" w:eastAsia="zh-CN"/>
                    </w:rPr>
                    <w:t>50</w:t>
                  </w:r>
                </w:p>
              </w:tc>
              <w:tc>
                <w:tcPr>
                  <w:tcW w:w="500" w:type="pct"/>
                  <w:vAlign w:val="center"/>
                </w:tcPr>
                <w:p>
                  <w:pPr>
                    <w:adjustRightInd w:val="0"/>
                    <w:snapToGrid w:val="0"/>
                    <w:jc w:val="center"/>
                    <w:rPr>
                      <w:rFonts w:hint="default" w:eastAsia="宋体"/>
                      <w:szCs w:val="23"/>
                      <w:lang w:val="en-US" w:eastAsia="zh-CN"/>
                    </w:rPr>
                  </w:pPr>
                  <w:r>
                    <w:rPr>
                      <w:rFonts w:hint="eastAsia"/>
                      <w:szCs w:val="23"/>
                      <w:lang w:val="en-US" w:eastAsia="zh-CN"/>
                    </w:rPr>
                    <w:t>20</w:t>
                  </w:r>
                </w:p>
              </w:tc>
              <w:tc>
                <w:tcPr>
                  <w:tcW w:w="500" w:type="pct"/>
                  <w:vAlign w:val="center"/>
                </w:tcPr>
                <w:p>
                  <w:pPr>
                    <w:adjustRightInd w:val="0"/>
                    <w:snapToGrid w:val="0"/>
                    <w:jc w:val="center"/>
                    <w:rPr>
                      <w:szCs w:val="23"/>
                    </w:rPr>
                  </w:pPr>
                  <w:r>
                    <w:rPr>
                      <w:rFonts w:hint="eastAsia"/>
                      <w:szCs w:val="23"/>
                    </w:rPr>
                    <w:t>6</w:t>
                  </w:r>
                </w:p>
              </w:tc>
              <w:tc>
                <w:tcPr>
                  <w:tcW w:w="481" w:type="pct"/>
                  <w:vAlign w:val="center"/>
                </w:tcPr>
                <w:p>
                  <w:pPr>
                    <w:adjustRightInd w:val="0"/>
                    <w:snapToGrid w:val="0"/>
                    <w:jc w:val="center"/>
                    <w:rPr>
                      <w:szCs w:val="23"/>
                    </w:rPr>
                  </w:pPr>
                  <w:r>
                    <w:rPr>
                      <w:rFonts w:hint="eastAsia"/>
                      <w:szCs w:val="23"/>
                    </w:rPr>
                    <w:t>粉尘</w:t>
                  </w:r>
                </w:p>
              </w:tc>
              <w:tc>
                <w:tcPr>
                  <w:tcW w:w="631" w:type="pct"/>
                  <w:vAlign w:val="center"/>
                </w:tcPr>
                <w:p>
                  <w:pPr>
                    <w:adjustRightInd w:val="0"/>
                    <w:snapToGrid w:val="0"/>
                    <w:jc w:val="center"/>
                    <w:rPr>
                      <w:rFonts w:hint="default" w:eastAsia="宋体"/>
                      <w:szCs w:val="21"/>
                      <w:lang w:val="en-US" w:eastAsia="zh-CN"/>
                    </w:rPr>
                  </w:pPr>
                  <w:r>
                    <w:rPr>
                      <w:rFonts w:hint="eastAsia"/>
                      <w:szCs w:val="21"/>
                      <w:lang w:val="en-US" w:eastAsia="zh-CN"/>
                    </w:rPr>
                    <w:t>0.147</w:t>
                  </w:r>
                </w:p>
              </w:tc>
            </w:tr>
          </w:tbl>
          <w:p>
            <w:pPr>
              <w:pStyle w:val="92"/>
              <w:adjustRightInd/>
              <w:spacing w:beforeLines="50" w:line="360" w:lineRule="auto"/>
              <w:ind w:firstLine="480" w:firstLineChars="200"/>
              <w:jc w:val="both"/>
              <w:rPr>
                <w:rFonts w:ascii="Times New Roman" w:hAnsi="Times New Roman"/>
                <w:color w:val="auto"/>
              </w:rPr>
            </w:pPr>
            <w:r>
              <w:rPr>
                <w:rFonts w:hint="eastAsia" w:ascii="Times New Roman" w:hAnsi="Times New Roman" w:cs="Times New Roman"/>
                <w:color w:val="auto"/>
              </w:rPr>
              <w:t>（3）</w:t>
            </w:r>
            <w:r>
              <w:rPr>
                <w:rFonts w:hint="eastAsia" w:ascii="Times New Roman" w:hAnsi="Times New Roman"/>
                <w:color w:val="auto"/>
              </w:rPr>
              <w:t>项目参数</w:t>
            </w:r>
          </w:p>
          <w:p>
            <w:pPr>
              <w:spacing w:line="360" w:lineRule="auto"/>
              <w:ind w:firstLine="480" w:firstLineChars="200"/>
              <w:rPr>
                <w:sz w:val="24"/>
                <w:szCs w:val="24"/>
              </w:rPr>
            </w:pPr>
            <w:r>
              <w:rPr>
                <w:rFonts w:hint="eastAsia"/>
                <w:sz w:val="24"/>
                <w:szCs w:val="24"/>
              </w:rPr>
              <w:t>估算模式所用参数见表</w:t>
            </w:r>
            <w:r>
              <w:rPr>
                <w:sz w:val="24"/>
                <w:szCs w:val="24"/>
              </w:rPr>
              <w:t>7-4</w:t>
            </w:r>
            <w:r>
              <w:rPr>
                <w:rFonts w:hint="eastAsia"/>
                <w:sz w:val="24"/>
                <w:szCs w:val="24"/>
              </w:rPr>
              <w:t>。</w:t>
            </w:r>
          </w:p>
          <w:p>
            <w:pPr>
              <w:pStyle w:val="92"/>
              <w:adjustRightInd/>
              <w:jc w:val="center"/>
              <w:rPr>
                <w:b/>
                <w:color w:val="auto"/>
              </w:rPr>
            </w:pPr>
            <w:r>
              <w:rPr>
                <w:rFonts w:hint="eastAsia"/>
                <w:b/>
                <w:color w:val="auto"/>
              </w:rPr>
              <w:t>表</w:t>
            </w:r>
            <w:r>
              <w:rPr>
                <w:rFonts w:ascii="Times New Roman" w:cs="Times New Roman"/>
                <w:b/>
                <w:bCs/>
                <w:color w:val="auto"/>
              </w:rPr>
              <w:t>7-</w:t>
            </w:r>
            <w:r>
              <w:rPr>
                <w:rFonts w:hint="eastAsia" w:ascii="Times New Roman" w:cs="Times New Roman"/>
                <w:b/>
                <w:bCs/>
                <w:color w:val="auto"/>
              </w:rPr>
              <w:t xml:space="preserve">4  </w:t>
            </w:r>
            <w:r>
              <w:rPr>
                <w:rFonts w:hint="eastAsia"/>
                <w:b/>
                <w:color w:val="auto"/>
              </w:rPr>
              <w:t>估算模式参数表</w:t>
            </w:r>
          </w:p>
          <w:tbl>
            <w:tblPr>
              <w:tblStyle w:val="34"/>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730"/>
              <w:gridCol w:w="2730"/>
              <w:gridCol w:w="27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60" w:type="dxa"/>
                  <w:gridSpan w:val="2"/>
                  <w:vAlign w:val="center"/>
                </w:tcPr>
                <w:p>
                  <w:pPr>
                    <w:adjustRightInd w:val="0"/>
                    <w:snapToGrid w:val="0"/>
                    <w:jc w:val="center"/>
                    <w:rPr>
                      <w:b/>
                    </w:rPr>
                  </w:pPr>
                  <w:r>
                    <w:rPr>
                      <w:rFonts w:hint="eastAsia"/>
                      <w:b/>
                    </w:rPr>
                    <w:t>参数</w:t>
                  </w:r>
                </w:p>
              </w:tc>
              <w:tc>
                <w:tcPr>
                  <w:tcW w:w="2731" w:type="dxa"/>
                  <w:vAlign w:val="center"/>
                </w:tcPr>
                <w:p>
                  <w:pPr>
                    <w:adjustRightInd w:val="0"/>
                    <w:snapToGrid w:val="0"/>
                    <w:jc w:val="center"/>
                    <w:rPr>
                      <w:b/>
                    </w:rPr>
                  </w:pPr>
                  <w:r>
                    <w:rPr>
                      <w:rFonts w:hint="eastAsia"/>
                      <w:b/>
                    </w:rPr>
                    <w:t>取值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30" w:type="dxa"/>
                  <w:vMerge w:val="restart"/>
                  <w:vAlign w:val="center"/>
                </w:tcPr>
                <w:p>
                  <w:pPr>
                    <w:adjustRightInd w:val="0"/>
                    <w:snapToGrid w:val="0"/>
                    <w:jc w:val="center"/>
                  </w:pPr>
                  <w:r>
                    <w:rPr>
                      <w:rFonts w:hint="eastAsia"/>
                    </w:rPr>
                    <w:t>城市/农村选项</w:t>
                  </w:r>
                </w:p>
              </w:tc>
              <w:tc>
                <w:tcPr>
                  <w:tcW w:w="2730" w:type="dxa"/>
                  <w:vAlign w:val="center"/>
                </w:tcPr>
                <w:p>
                  <w:pPr>
                    <w:adjustRightInd w:val="0"/>
                    <w:snapToGrid w:val="0"/>
                    <w:jc w:val="center"/>
                  </w:pPr>
                  <w:r>
                    <w:rPr>
                      <w:rFonts w:hint="eastAsia"/>
                    </w:rPr>
                    <w:t>城市/农村</w:t>
                  </w:r>
                </w:p>
              </w:tc>
              <w:tc>
                <w:tcPr>
                  <w:tcW w:w="2731" w:type="dxa"/>
                  <w:vAlign w:val="center"/>
                </w:tcPr>
                <w:p>
                  <w:pPr>
                    <w:adjustRightInd w:val="0"/>
                    <w:snapToGrid w:val="0"/>
                    <w:jc w:val="center"/>
                  </w:pPr>
                  <w:r>
                    <w:rPr>
                      <w:rFonts w:hint="eastAsia"/>
                    </w:rPr>
                    <w:t>农村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30" w:type="dxa"/>
                  <w:vMerge w:val="continue"/>
                  <w:vAlign w:val="center"/>
                </w:tcPr>
                <w:p>
                  <w:pPr>
                    <w:adjustRightInd w:val="0"/>
                    <w:snapToGrid w:val="0"/>
                    <w:jc w:val="center"/>
                  </w:pPr>
                </w:p>
              </w:tc>
              <w:tc>
                <w:tcPr>
                  <w:tcW w:w="2730" w:type="dxa"/>
                  <w:vAlign w:val="center"/>
                </w:tcPr>
                <w:p>
                  <w:pPr>
                    <w:adjustRightInd w:val="0"/>
                    <w:snapToGrid w:val="0"/>
                    <w:jc w:val="center"/>
                  </w:pPr>
                  <w:r>
                    <w:rPr>
                      <w:rFonts w:hint="eastAsia"/>
                    </w:rPr>
                    <w:t>人口数</w:t>
                  </w:r>
                </w:p>
              </w:tc>
              <w:tc>
                <w:tcPr>
                  <w:tcW w:w="2731" w:type="dxa"/>
                  <w:vAlign w:val="center"/>
                </w:tcPr>
                <w:p>
                  <w:pPr>
                    <w:adjustRightInd w:val="0"/>
                    <w:snapToGrid w:val="0"/>
                    <w:jc w:val="center"/>
                  </w:pPr>
                  <w:r>
                    <w:rPr>
                      <w:rFonts w:hint="eastAsia"/>
                    </w:rPr>
                    <w:t>600000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60" w:type="dxa"/>
                  <w:gridSpan w:val="2"/>
                  <w:vAlign w:val="center"/>
                </w:tcPr>
                <w:p>
                  <w:pPr>
                    <w:adjustRightInd w:val="0"/>
                    <w:snapToGrid w:val="0"/>
                    <w:jc w:val="center"/>
                  </w:pPr>
                  <w:r>
                    <w:rPr>
                      <w:rFonts w:hint="eastAsia"/>
                    </w:rPr>
                    <w:t>最高环境温度（℃）</w:t>
                  </w:r>
                </w:p>
              </w:tc>
              <w:tc>
                <w:tcPr>
                  <w:tcW w:w="2731" w:type="dxa"/>
                  <w:vAlign w:val="center"/>
                </w:tcPr>
                <w:p>
                  <w:pPr>
                    <w:adjustRightInd w:val="0"/>
                    <w:snapToGrid w:val="0"/>
                    <w:jc w:val="center"/>
                    <w:rPr>
                      <w:szCs w:val="21"/>
                    </w:rPr>
                  </w:pPr>
                  <w:r>
                    <w:rPr>
                      <w:szCs w:val="21"/>
                    </w:rPr>
                    <w:t>3</w:t>
                  </w:r>
                  <w:r>
                    <w:rPr>
                      <w:rFonts w:hint="eastAsia"/>
                      <w:szCs w:val="21"/>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60" w:type="dxa"/>
                  <w:gridSpan w:val="2"/>
                  <w:vAlign w:val="center"/>
                </w:tcPr>
                <w:p>
                  <w:pPr>
                    <w:adjustRightInd w:val="0"/>
                    <w:snapToGrid w:val="0"/>
                    <w:jc w:val="center"/>
                  </w:pPr>
                  <w:r>
                    <w:rPr>
                      <w:rFonts w:hint="eastAsia"/>
                    </w:rPr>
                    <w:t>最低环境温度（℃）</w:t>
                  </w:r>
                </w:p>
              </w:tc>
              <w:tc>
                <w:tcPr>
                  <w:tcW w:w="2731" w:type="dxa"/>
                  <w:vAlign w:val="center"/>
                </w:tcPr>
                <w:p>
                  <w:pPr>
                    <w:adjustRightInd w:val="0"/>
                    <w:snapToGrid w:val="0"/>
                    <w:jc w:val="center"/>
                    <w:rPr>
                      <w:szCs w:val="21"/>
                    </w:rPr>
                  </w:pPr>
                  <w:r>
                    <w:rPr>
                      <w:szCs w:val="21"/>
                    </w:rPr>
                    <w:t>-18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60" w:type="dxa"/>
                  <w:gridSpan w:val="2"/>
                  <w:vAlign w:val="center"/>
                </w:tcPr>
                <w:p>
                  <w:pPr>
                    <w:adjustRightInd w:val="0"/>
                    <w:snapToGrid w:val="0"/>
                    <w:jc w:val="center"/>
                  </w:pPr>
                  <w:r>
                    <w:rPr>
                      <w:rFonts w:hint="eastAsia"/>
                    </w:rPr>
                    <w:t>土地利用类型</w:t>
                  </w:r>
                </w:p>
              </w:tc>
              <w:tc>
                <w:tcPr>
                  <w:tcW w:w="2731" w:type="dxa"/>
                  <w:vAlign w:val="center"/>
                </w:tcPr>
                <w:p>
                  <w:pPr>
                    <w:adjustRightInd w:val="0"/>
                    <w:snapToGrid w:val="0"/>
                    <w:jc w:val="center"/>
                  </w:pPr>
                  <w:r>
                    <w:rPr>
                      <w:rFonts w:hint="eastAsia"/>
                    </w:rPr>
                    <w:t>农村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60" w:type="dxa"/>
                  <w:gridSpan w:val="2"/>
                  <w:vAlign w:val="center"/>
                </w:tcPr>
                <w:p>
                  <w:pPr>
                    <w:adjustRightInd w:val="0"/>
                    <w:snapToGrid w:val="0"/>
                    <w:jc w:val="center"/>
                  </w:pPr>
                  <w:r>
                    <w:rPr>
                      <w:rFonts w:hint="eastAsia"/>
                    </w:rPr>
                    <w:t>区域湿度条件</w:t>
                  </w:r>
                </w:p>
              </w:tc>
              <w:tc>
                <w:tcPr>
                  <w:tcW w:w="2731" w:type="dxa"/>
                  <w:vAlign w:val="center"/>
                </w:tcPr>
                <w:p>
                  <w:pPr>
                    <w:adjustRightInd w:val="0"/>
                    <w:snapToGrid w:val="0"/>
                    <w:jc w:val="center"/>
                  </w:pPr>
                  <w:r>
                    <w:rPr>
                      <w:rFonts w:hint="eastAsia"/>
                    </w:rPr>
                    <w:t>1（中等湿度）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30" w:type="dxa"/>
                  <w:vMerge w:val="restart"/>
                  <w:vAlign w:val="center"/>
                </w:tcPr>
                <w:p>
                  <w:pPr>
                    <w:adjustRightInd w:val="0"/>
                    <w:snapToGrid w:val="0"/>
                    <w:jc w:val="center"/>
                  </w:pPr>
                  <w:r>
                    <w:rPr>
                      <w:rFonts w:hint="eastAsia"/>
                    </w:rPr>
                    <w:t>是否考虑地形</w:t>
                  </w:r>
                </w:p>
              </w:tc>
              <w:tc>
                <w:tcPr>
                  <w:tcW w:w="2730" w:type="dxa"/>
                  <w:vAlign w:val="center"/>
                </w:tcPr>
                <w:p>
                  <w:pPr>
                    <w:adjustRightInd w:val="0"/>
                    <w:snapToGrid w:val="0"/>
                    <w:jc w:val="center"/>
                  </w:pPr>
                  <w:r>
                    <w:rPr>
                      <w:rFonts w:hint="eastAsia"/>
                    </w:rPr>
                    <w:t>考虑地形</w:t>
                  </w:r>
                </w:p>
              </w:tc>
              <w:tc>
                <w:tcPr>
                  <w:tcW w:w="2731" w:type="dxa"/>
                  <w:vAlign w:val="center"/>
                </w:tcPr>
                <w:p>
                  <w:pPr>
                    <w:adjustRightInd w:val="0"/>
                    <w:snapToGrid w:val="0"/>
                    <w:jc w:val="center"/>
                  </w:pPr>
                  <w:r>
                    <w:rPr>
                      <w:rFonts w:hint="eastAsia"/>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30" w:type="dxa"/>
                  <w:vMerge w:val="continue"/>
                  <w:vAlign w:val="center"/>
                </w:tcPr>
                <w:p>
                  <w:pPr>
                    <w:adjustRightInd w:val="0"/>
                    <w:snapToGrid w:val="0"/>
                    <w:jc w:val="center"/>
                  </w:pPr>
                </w:p>
              </w:tc>
              <w:tc>
                <w:tcPr>
                  <w:tcW w:w="2730" w:type="dxa"/>
                  <w:vAlign w:val="center"/>
                </w:tcPr>
                <w:p>
                  <w:pPr>
                    <w:adjustRightInd w:val="0"/>
                    <w:snapToGrid w:val="0"/>
                    <w:jc w:val="center"/>
                  </w:pPr>
                  <w:r>
                    <w:rPr>
                      <w:rFonts w:hint="eastAsia"/>
                    </w:rPr>
                    <w:t>地形数据分辨率</w:t>
                  </w:r>
                </w:p>
              </w:tc>
              <w:tc>
                <w:tcPr>
                  <w:tcW w:w="2731" w:type="dxa"/>
                  <w:vAlign w:val="center"/>
                </w:tcPr>
                <w:p>
                  <w:pPr>
                    <w:adjustRightInd w:val="0"/>
                    <w:snapToGrid w:val="0"/>
                    <w:jc w:val="center"/>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30" w:type="dxa"/>
                  <w:vMerge w:val="restart"/>
                  <w:vAlign w:val="center"/>
                </w:tcPr>
                <w:p>
                  <w:pPr>
                    <w:adjustRightInd w:val="0"/>
                    <w:snapToGrid w:val="0"/>
                    <w:jc w:val="center"/>
                  </w:pPr>
                  <w:r>
                    <w:rPr>
                      <w:rFonts w:hint="eastAsia"/>
                    </w:rPr>
                    <w:t>是否考虑熏烟</w:t>
                  </w:r>
                </w:p>
              </w:tc>
              <w:tc>
                <w:tcPr>
                  <w:tcW w:w="2730" w:type="dxa"/>
                  <w:vAlign w:val="center"/>
                </w:tcPr>
                <w:p>
                  <w:pPr>
                    <w:adjustRightInd w:val="0"/>
                    <w:snapToGrid w:val="0"/>
                    <w:jc w:val="center"/>
                  </w:pPr>
                  <w:r>
                    <w:rPr>
                      <w:rFonts w:hint="eastAsia"/>
                    </w:rPr>
                    <w:t>考虑岸线熏烟</w:t>
                  </w:r>
                </w:p>
              </w:tc>
              <w:tc>
                <w:tcPr>
                  <w:tcW w:w="2731" w:type="dxa"/>
                  <w:vAlign w:val="center"/>
                </w:tcPr>
                <w:p>
                  <w:pPr>
                    <w:adjustRightInd w:val="0"/>
                    <w:snapToGrid w:val="0"/>
                    <w:jc w:val="center"/>
                  </w:pPr>
                  <w:r>
                    <w:rPr>
                      <w:rFonts w:hint="eastAsia"/>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30" w:type="dxa"/>
                  <w:vMerge w:val="continue"/>
                  <w:vAlign w:val="center"/>
                </w:tcPr>
                <w:p>
                  <w:pPr>
                    <w:adjustRightInd w:val="0"/>
                    <w:snapToGrid w:val="0"/>
                    <w:jc w:val="center"/>
                  </w:pPr>
                </w:p>
              </w:tc>
              <w:tc>
                <w:tcPr>
                  <w:tcW w:w="2730" w:type="dxa"/>
                  <w:vAlign w:val="center"/>
                </w:tcPr>
                <w:p>
                  <w:pPr>
                    <w:adjustRightInd w:val="0"/>
                    <w:snapToGrid w:val="0"/>
                    <w:jc w:val="center"/>
                  </w:pPr>
                  <w:r>
                    <w:rPr>
                      <w:rFonts w:hint="eastAsia"/>
                    </w:rPr>
                    <w:t>岸线距离/km</w:t>
                  </w:r>
                </w:p>
              </w:tc>
              <w:tc>
                <w:tcPr>
                  <w:tcW w:w="2731" w:type="dxa"/>
                  <w:vAlign w:val="center"/>
                </w:tcPr>
                <w:p>
                  <w:pPr>
                    <w:adjustRightInd w:val="0"/>
                    <w:snapToGrid w:val="0"/>
                    <w:jc w:val="center"/>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30" w:type="dxa"/>
                  <w:vMerge w:val="continue"/>
                  <w:vAlign w:val="center"/>
                </w:tcPr>
                <w:p>
                  <w:pPr>
                    <w:adjustRightInd w:val="0"/>
                    <w:snapToGrid w:val="0"/>
                    <w:jc w:val="center"/>
                  </w:pPr>
                </w:p>
              </w:tc>
              <w:tc>
                <w:tcPr>
                  <w:tcW w:w="2730" w:type="dxa"/>
                  <w:vAlign w:val="center"/>
                </w:tcPr>
                <w:p>
                  <w:pPr>
                    <w:adjustRightInd w:val="0"/>
                    <w:snapToGrid w:val="0"/>
                    <w:jc w:val="center"/>
                  </w:pPr>
                  <w:r>
                    <w:rPr>
                      <w:rFonts w:hint="eastAsia"/>
                    </w:rPr>
                    <w:t>岸线方向/°</w:t>
                  </w:r>
                </w:p>
              </w:tc>
              <w:tc>
                <w:tcPr>
                  <w:tcW w:w="2731" w:type="dxa"/>
                  <w:vAlign w:val="center"/>
                </w:tcPr>
                <w:p>
                  <w:pPr>
                    <w:adjustRightInd w:val="0"/>
                    <w:snapToGrid w:val="0"/>
                    <w:jc w:val="center"/>
                  </w:pPr>
                  <w:r>
                    <w:rPr>
                      <w:rFonts w:hint="eastAsia"/>
                    </w:rPr>
                    <w:t>-</w:t>
                  </w:r>
                </w:p>
              </w:tc>
            </w:tr>
          </w:tbl>
          <w:p>
            <w:pPr>
              <w:autoSpaceDE w:val="0"/>
              <w:autoSpaceDN w:val="0"/>
              <w:spacing w:beforeLines="50" w:line="360" w:lineRule="auto"/>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（4）评级工作等级结果</w:t>
            </w:r>
          </w:p>
          <w:p>
            <w:pPr>
              <w:autoSpaceDE w:val="0"/>
              <w:autoSpaceDN w:val="0"/>
              <w:spacing w:beforeLines="50" w:line="360" w:lineRule="auto"/>
              <w:ind w:firstLine="480" w:firstLineChars="200"/>
              <w:rPr>
                <w:kern w:val="0"/>
                <w:sz w:val="16"/>
                <w:szCs w:val="16"/>
              </w:rPr>
            </w:pPr>
            <w:r>
              <w:rPr>
                <w:rFonts w:hint="eastAsia" w:ascii="宋体" w:cs="宋体"/>
                <w:kern w:val="0"/>
                <w:sz w:val="24"/>
                <w:szCs w:val="24"/>
              </w:rPr>
              <w:t>根据本次</w:t>
            </w:r>
            <w:r>
              <w:rPr>
                <w:kern w:val="0"/>
                <w:sz w:val="24"/>
                <w:szCs w:val="24"/>
              </w:rPr>
              <w:t xml:space="preserve">Aerscreen </w:t>
            </w:r>
            <w:r>
              <w:rPr>
                <w:rFonts w:hint="eastAsia" w:ascii="宋体" w:cs="宋体"/>
                <w:kern w:val="0"/>
                <w:sz w:val="24"/>
                <w:szCs w:val="24"/>
              </w:rPr>
              <w:t>模式对主要污染源预测结合，拟建项目各排放源颗粒物</w:t>
            </w:r>
            <w:r>
              <w:rPr>
                <w:kern w:val="0"/>
                <w:sz w:val="24"/>
                <w:szCs w:val="24"/>
              </w:rPr>
              <w:t>P</w:t>
            </w:r>
            <w:r>
              <w:rPr>
                <w:kern w:val="0"/>
                <w:sz w:val="16"/>
                <w:szCs w:val="16"/>
              </w:rPr>
              <w:t>max</w:t>
            </w:r>
            <w:r>
              <w:rPr>
                <w:rFonts w:hint="eastAsia" w:ascii="宋体" w:cs="宋体"/>
                <w:kern w:val="0"/>
                <w:sz w:val="24"/>
                <w:szCs w:val="24"/>
              </w:rPr>
              <w:t>为</w:t>
            </w:r>
            <w:r>
              <w:rPr>
                <w:rFonts w:hint="eastAsia"/>
                <w:color w:val="auto"/>
                <w:kern w:val="0"/>
                <w:sz w:val="24"/>
                <w:szCs w:val="24"/>
                <w:lang w:val="en-US" w:eastAsia="zh-CN"/>
              </w:rPr>
              <w:t>8.85</w:t>
            </w:r>
            <w:r>
              <w:rPr>
                <w:color w:val="auto"/>
                <w:kern w:val="0"/>
                <w:sz w:val="24"/>
                <w:szCs w:val="24"/>
              </w:rPr>
              <w:t>%</w:t>
            </w:r>
            <w:r>
              <w:rPr>
                <w:rFonts w:hint="eastAsia" w:ascii="宋体" w:cs="宋体"/>
                <w:color w:val="auto"/>
                <w:kern w:val="0"/>
                <w:sz w:val="24"/>
                <w:szCs w:val="24"/>
              </w:rPr>
              <w:t>，</w:t>
            </w:r>
            <w:r>
              <w:rPr>
                <w:kern w:val="0"/>
                <w:sz w:val="24"/>
                <w:szCs w:val="24"/>
              </w:rPr>
              <w:t>1%≤P</w:t>
            </w:r>
            <w:r>
              <w:rPr>
                <w:kern w:val="0"/>
                <w:sz w:val="16"/>
                <w:szCs w:val="16"/>
              </w:rPr>
              <w:t>max</w:t>
            </w:r>
            <w:r>
              <w:rPr>
                <w:kern w:val="0"/>
                <w:sz w:val="24"/>
                <w:szCs w:val="24"/>
              </w:rPr>
              <w:t>&lt;10%</w:t>
            </w:r>
            <w:r>
              <w:rPr>
                <w:rFonts w:hint="eastAsia" w:ascii="宋体" w:cs="宋体"/>
                <w:kern w:val="0"/>
                <w:sz w:val="24"/>
                <w:szCs w:val="24"/>
              </w:rPr>
              <w:t>，因此，确定评价等级为二级。</w:t>
            </w:r>
          </w:p>
          <w:p>
            <w:pPr>
              <w:spacing w:line="360" w:lineRule="auto"/>
              <w:ind w:firstLine="480" w:firstLineChars="200"/>
              <w:rPr>
                <w:rFonts w:cs="宋体"/>
                <w:kern w:val="0"/>
                <w:sz w:val="24"/>
                <w:szCs w:val="24"/>
              </w:rPr>
            </w:pPr>
            <w:r>
              <w:rPr>
                <w:rFonts w:hint="eastAsia" w:cs="宋体"/>
                <w:kern w:val="0"/>
                <w:sz w:val="24"/>
                <w:szCs w:val="24"/>
              </w:rPr>
              <w:t>（5）污染物排放量核算</w:t>
            </w:r>
          </w:p>
          <w:p>
            <w:pPr>
              <w:spacing w:line="360" w:lineRule="auto"/>
              <w:ind w:firstLine="480" w:firstLineChars="200"/>
              <w:rPr>
                <w:rFonts w:cs="宋体"/>
                <w:kern w:val="0"/>
                <w:sz w:val="24"/>
                <w:szCs w:val="24"/>
              </w:rPr>
            </w:pPr>
            <w:r>
              <w:rPr>
                <w:rFonts w:hint="eastAsia" w:hAnsi="宋体" w:cs="宋体"/>
                <w:kern w:val="0"/>
                <w:sz w:val="24"/>
                <w:szCs w:val="24"/>
              </w:rPr>
              <w:t>①</w:t>
            </w:r>
            <w:r>
              <w:rPr>
                <w:rFonts w:hint="eastAsia" w:cs="宋体"/>
                <w:kern w:val="0"/>
                <w:sz w:val="24"/>
                <w:szCs w:val="24"/>
              </w:rPr>
              <w:t>有组织排放量计算</w:t>
            </w:r>
          </w:p>
          <w:p>
            <w:pPr>
              <w:jc w:val="center"/>
              <w:rPr>
                <w:rFonts w:cs="宋体"/>
                <w:b/>
                <w:kern w:val="0"/>
                <w:sz w:val="24"/>
                <w:szCs w:val="24"/>
              </w:rPr>
            </w:pPr>
            <w:r>
              <w:rPr>
                <w:rFonts w:hint="eastAsia" w:cs="宋体"/>
                <w:b/>
                <w:kern w:val="0"/>
                <w:sz w:val="24"/>
                <w:szCs w:val="24"/>
              </w:rPr>
              <w:t>表7-8  大气污染物有组织排放量核算表</w:t>
            </w:r>
          </w:p>
          <w:tbl>
            <w:tblPr>
              <w:tblStyle w:val="34"/>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1365"/>
              <w:gridCol w:w="1365"/>
              <w:gridCol w:w="1365"/>
              <w:gridCol w:w="1365"/>
              <w:gridCol w:w="13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5" w:type="dxa"/>
                  <w:vAlign w:val="center"/>
                </w:tcPr>
                <w:p>
                  <w:pPr>
                    <w:adjustRightInd w:val="0"/>
                    <w:snapToGrid w:val="0"/>
                    <w:jc w:val="center"/>
                    <w:rPr>
                      <w:rFonts w:cs="宋体"/>
                      <w:b/>
                      <w:kern w:val="0"/>
                      <w:szCs w:val="24"/>
                    </w:rPr>
                  </w:pPr>
                  <w:r>
                    <w:rPr>
                      <w:rFonts w:hint="eastAsia" w:cs="宋体"/>
                      <w:b/>
                      <w:kern w:val="0"/>
                      <w:szCs w:val="24"/>
                    </w:rPr>
                    <w:t>序号</w:t>
                  </w:r>
                </w:p>
              </w:tc>
              <w:tc>
                <w:tcPr>
                  <w:tcW w:w="1365" w:type="dxa"/>
                  <w:vAlign w:val="center"/>
                </w:tcPr>
                <w:p>
                  <w:pPr>
                    <w:adjustRightInd w:val="0"/>
                    <w:snapToGrid w:val="0"/>
                    <w:jc w:val="center"/>
                    <w:rPr>
                      <w:rFonts w:cs="宋体"/>
                      <w:b/>
                      <w:kern w:val="0"/>
                      <w:szCs w:val="24"/>
                    </w:rPr>
                  </w:pPr>
                  <w:r>
                    <w:rPr>
                      <w:rFonts w:hint="eastAsia" w:cs="宋体"/>
                      <w:b/>
                      <w:kern w:val="0"/>
                      <w:szCs w:val="24"/>
                    </w:rPr>
                    <w:t>排污口编号</w:t>
                  </w:r>
                </w:p>
              </w:tc>
              <w:tc>
                <w:tcPr>
                  <w:tcW w:w="1365" w:type="dxa"/>
                  <w:vAlign w:val="center"/>
                </w:tcPr>
                <w:p>
                  <w:pPr>
                    <w:adjustRightInd w:val="0"/>
                    <w:snapToGrid w:val="0"/>
                    <w:jc w:val="center"/>
                    <w:rPr>
                      <w:rFonts w:cs="宋体"/>
                      <w:b/>
                      <w:kern w:val="0"/>
                      <w:szCs w:val="24"/>
                    </w:rPr>
                  </w:pPr>
                  <w:r>
                    <w:rPr>
                      <w:rFonts w:hint="eastAsia" w:cs="宋体"/>
                      <w:b/>
                      <w:kern w:val="0"/>
                      <w:szCs w:val="24"/>
                    </w:rPr>
                    <w:t>污染物</w:t>
                  </w:r>
                </w:p>
              </w:tc>
              <w:tc>
                <w:tcPr>
                  <w:tcW w:w="1365" w:type="dxa"/>
                  <w:vAlign w:val="center"/>
                </w:tcPr>
                <w:p>
                  <w:pPr>
                    <w:adjustRightInd w:val="0"/>
                    <w:snapToGrid w:val="0"/>
                    <w:jc w:val="center"/>
                    <w:rPr>
                      <w:rFonts w:cs="宋体"/>
                      <w:b/>
                      <w:kern w:val="0"/>
                      <w:szCs w:val="24"/>
                    </w:rPr>
                  </w:pPr>
                  <w:r>
                    <w:rPr>
                      <w:rFonts w:hint="eastAsia" w:cs="宋体"/>
                      <w:b/>
                      <w:kern w:val="0"/>
                      <w:szCs w:val="24"/>
                    </w:rPr>
                    <w:t>核算排放浓度（mg/m</w:t>
                  </w:r>
                  <w:r>
                    <w:rPr>
                      <w:rFonts w:hint="eastAsia" w:cs="宋体"/>
                      <w:b/>
                      <w:kern w:val="0"/>
                      <w:szCs w:val="24"/>
                      <w:vertAlign w:val="superscript"/>
                    </w:rPr>
                    <w:t>3</w:t>
                  </w:r>
                  <w:r>
                    <w:rPr>
                      <w:rFonts w:hint="eastAsia" w:cs="宋体"/>
                      <w:b/>
                      <w:kern w:val="0"/>
                      <w:szCs w:val="24"/>
                    </w:rPr>
                    <w:t>）</w:t>
                  </w:r>
                </w:p>
              </w:tc>
              <w:tc>
                <w:tcPr>
                  <w:tcW w:w="1365" w:type="dxa"/>
                  <w:vAlign w:val="center"/>
                </w:tcPr>
                <w:p>
                  <w:pPr>
                    <w:adjustRightInd w:val="0"/>
                    <w:snapToGrid w:val="0"/>
                    <w:jc w:val="center"/>
                    <w:rPr>
                      <w:rFonts w:cs="宋体"/>
                      <w:b/>
                      <w:kern w:val="0"/>
                      <w:szCs w:val="24"/>
                    </w:rPr>
                  </w:pPr>
                  <w:r>
                    <w:rPr>
                      <w:rFonts w:hint="eastAsia" w:cs="宋体"/>
                      <w:b/>
                      <w:kern w:val="0"/>
                      <w:szCs w:val="24"/>
                    </w:rPr>
                    <w:t>核算排放速率（kg/h）</w:t>
                  </w:r>
                </w:p>
              </w:tc>
              <w:tc>
                <w:tcPr>
                  <w:tcW w:w="1366" w:type="dxa"/>
                  <w:vAlign w:val="center"/>
                </w:tcPr>
                <w:p>
                  <w:pPr>
                    <w:adjustRightInd w:val="0"/>
                    <w:snapToGrid w:val="0"/>
                    <w:jc w:val="center"/>
                    <w:rPr>
                      <w:rFonts w:cs="宋体"/>
                      <w:b/>
                      <w:kern w:val="0"/>
                      <w:szCs w:val="24"/>
                    </w:rPr>
                  </w:pPr>
                  <w:r>
                    <w:rPr>
                      <w:rFonts w:hint="eastAsia" w:cs="宋体"/>
                      <w:b/>
                      <w:kern w:val="0"/>
                      <w:szCs w:val="24"/>
                    </w:rPr>
                    <w:t>核算排放量（t/a）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91" w:type="dxa"/>
                  <w:gridSpan w:val="6"/>
                  <w:vAlign w:val="center"/>
                </w:tcPr>
                <w:p>
                  <w:pPr>
                    <w:adjustRightInd w:val="0"/>
                    <w:snapToGrid w:val="0"/>
                    <w:jc w:val="center"/>
                    <w:rPr>
                      <w:rFonts w:cs="宋体"/>
                      <w:kern w:val="0"/>
                      <w:szCs w:val="24"/>
                    </w:rPr>
                  </w:pPr>
                  <w:r>
                    <w:rPr>
                      <w:rFonts w:hint="eastAsia" w:cs="宋体"/>
                      <w:kern w:val="0"/>
                      <w:szCs w:val="24"/>
                    </w:rPr>
                    <w:t>一般排放口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5" w:type="dxa"/>
                  <w:vAlign w:val="center"/>
                </w:tcPr>
                <w:p>
                  <w:pPr>
                    <w:adjustRightInd w:val="0"/>
                    <w:snapToGrid w:val="0"/>
                    <w:jc w:val="center"/>
                    <w:rPr>
                      <w:rFonts w:hint="eastAsia" w:eastAsia="宋体" w:cs="宋体"/>
                      <w:kern w:val="0"/>
                      <w:szCs w:val="24"/>
                      <w:lang w:val="en-US" w:eastAsia="zh-CN"/>
                    </w:rPr>
                  </w:pPr>
                  <w:r>
                    <w:rPr>
                      <w:rFonts w:hint="eastAsia" w:cs="宋体"/>
                      <w:kern w:val="0"/>
                      <w:szCs w:val="24"/>
                      <w:lang w:val="en-US" w:eastAsia="zh-CN"/>
                    </w:rPr>
                    <w:t>1</w:t>
                  </w:r>
                </w:p>
              </w:tc>
              <w:tc>
                <w:tcPr>
                  <w:tcW w:w="1365" w:type="dxa"/>
                  <w:vAlign w:val="center"/>
                </w:tcPr>
                <w:p>
                  <w:pPr>
                    <w:adjustRightInd w:val="0"/>
                    <w:snapToGrid w:val="0"/>
                    <w:jc w:val="center"/>
                    <w:rPr>
                      <w:rFonts w:cs="宋体"/>
                      <w:kern w:val="0"/>
                      <w:szCs w:val="24"/>
                    </w:rPr>
                  </w:pPr>
                  <w:r>
                    <w:rPr>
                      <w:rFonts w:hint="eastAsia" w:cs="宋体"/>
                      <w:kern w:val="0"/>
                      <w:szCs w:val="24"/>
                      <w:lang w:val="en-US" w:eastAsia="zh-CN"/>
                    </w:rPr>
                    <w:t>1</w:t>
                  </w:r>
                  <w:r>
                    <w:rPr>
                      <w:rFonts w:hint="eastAsia" w:cs="宋体"/>
                      <w:kern w:val="0"/>
                      <w:szCs w:val="24"/>
                    </w:rPr>
                    <w:t>#</w:t>
                  </w:r>
                </w:p>
              </w:tc>
              <w:tc>
                <w:tcPr>
                  <w:tcW w:w="1365" w:type="dxa"/>
                  <w:vAlign w:val="center"/>
                </w:tcPr>
                <w:p>
                  <w:pPr>
                    <w:adjustRightInd w:val="0"/>
                    <w:snapToGrid w:val="0"/>
                    <w:jc w:val="center"/>
                    <w:rPr>
                      <w:rFonts w:cs="宋体"/>
                      <w:kern w:val="0"/>
                      <w:szCs w:val="24"/>
                    </w:rPr>
                  </w:pPr>
                  <w:r>
                    <w:rPr>
                      <w:rFonts w:hint="eastAsia" w:cs="宋体"/>
                      <w:kern w:val="0"/>
                      <w:szCs w:val="24"/>
                    </w:rPr>
                    <w:t>颗粒物</w:t>
                  </w:r>
                </w:p>
              </w:tc>
              <w:tc>
                <w:tcPr>
                  <w:tcW w:w="1365" w:type="dxa"/>
                  <w:vAlign w:val="center"/>
                </w:tcPr>
                <w:p>
                  <w:pPr>
                    <w:adjustRightInd w:val="0"/>
                    <w:snapToGrid w:val="0"/>
                    <w:jc w:val="center"/>
                    <w:rPr>
                      <w:rFonts w:cs="宋体"/>
                      <w:kern w:val="0"/>
                      <w:szCs w:val="24"/>
                    </w:rPr>
                  </w:pPr>
                  <w:r>
                    <w:rPr>
                      <w:rFonts w:hint="eastAsia" w:cs="宋体"/>
                      <w:kern w:val="0"/>
                      <w:szCs w:val="24"/>
                    </w:rPr>
                    <w:t>2.411</w:t>
                  </w:r>
                </w:p>
              </w:tc>
              <w:tc>
                <w:tcPr>
                  <w:tcW w:w="1365" w:type="dxa"/>
                  <w:vAlign w:val="center"/>
                </w:tcPr>
                <w:p>
                  <w:pPr>
                    <w:adjustRightInd w:val="0"/>
                    <w:snapToGrid w:val="0"/>
                    <w:jc w:val="center"/>
                    <w:rPr>
                      <w:rFonts w:cs="宋体"/>
                      <w:kern w:val="0"/>
                      <w:szCs w:val="24"/>
                    </w:rPr>
                  </w:pPr>
                  <w:r>
                    <w:rPr>
                      <w:rFonts w:hint="eastAsia" w:cs="宋体"/>
                      <w:kern w:val="0"/>
                      <w:szCs w:val="24"/>
                    </w:rPr>
                    <w:t>0.012</w:t>
                  </w:r>
                </w:p>
              </w:tc>
              <w:tc>
                <w:tcPr>
                  <w:tcW w:w="1366" w:type="dxa"/>
                  <w:vAlign w:val="center"/>
                </w:tcPr>
                <w:p>
                  <w:pPr>
                    <w:adjustRightInd w:val="0"/>
                    <w:snapToGrid w:val="0"/>
                    <w:jc w:val="center"/>
                    <w:rPr>
                      <w:rFonts w:cs="宋体"/>
                      <w:kern w:val="0"/>
                      <w:szCs w:val="24"/>
                    </w:rPr>
                  </w:pPr>
                  <w:r>
                    <w:rPr>
                      <w:rFonts w:hint="eastAsia" w:cs="宋体"/>
                      <w:kern w:val="0"/>
                      <w:szCs w:val="24"/>
                    </w:rPr>
                    <w:t>0.027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30" w:type="dxa"/>
                  <w:gridSpan w:val="2"/>
                  <w:vAlign w:val="center"/>
                </w:tcPr>
                <w:p>
                  <w:pPr>
                    <w:adjustRightInd w:val="0"/>
                    <w:snapToGrid w:val="0"/>
                    <w:jc w:val="center"/>
                    <w:rPr>
                      <w:rFonts w:cs="宋体"/>
                      <w:kern w:val="0"/>
                      <w:szCs w:val="24"/>
                    </w:rPr>
                  </w:pPr>
                  <w:r>
                    <w:rPr>
                      <w:rFonts w:hint="eastAsia" w:cs="宋体"/>
                      <w:kern w:val="0"/>
                      <w:szCs w:val="24"/>
                    </w:rPr>
                    <w:t>一般排放口合计</w:t>
                  </w:r>
                </w:p>
              </w:tc>
              <w:tc>
                <w:tcPr>
                  <w:tcW w:w="4095" w:type="dxa"/>
                  <w:gridSpan w:val="3"/>
                  <w:vAlign w:val="center"/>
                </w:tcPr>
                <w:p>
                  <w:pPr>
                    <w:adjustRightInd w:val="0"/>
                    <w:snapToGrid w:val="0"/>
                    <w:jc w:val="center"/>
                    <w:rPr>
                      <w:rFonts w:cs="宋体"/>
                      <w:kern w:val="0"/>
                      <w:szCs w:val="24"/>
                    </w:rPr>
                  </w:pPr>
                  <w:r>
                    <w:rPr>
                      <w:rFonts w:hint="eastAsia" w:cs="宋体"/>
                      <w:kern w:val="0"/>
                      <w:szCs w:val="24"/>
                    </w:rPr>
                    <w:t>颗粒物</w:t>
                  </w:r>
                </w:p>
              </w:tc>
              <w:tc>
                <w:tcPr>
                  <w:tcW w:w="1366" w:type="dxa"/>
                  <w:vAlign w:val="center"/>
                </w:tcPr>
                <w:p>
                  <w:pPr>
                    <w:adjustRightInd w:val="0"/>
                    <w:snapToGrid w:val="0"/>
                    <w:jc w:val="center"/>
                    <w:rPr>
                      <w:rFonts w:cs="宋体"/>
                      <w:kern w:val="0"/>
                      <w:szCs w:val="24"/>
                    </w:rPr>
                  </w:pPr>
                  <w:r>
                    <w:rPr>
                      <w:rFonts w:hint="eastAsia" w:cs="宋体"/>
                      <w:kern w:val="0"/>
                      <w:szCs w:val="24"/>
                    </w:rPr>
                    <w:t>0.027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91" w:type="dxa"/>
                  <w:gridSpan w:val="6"/>
                  <w:vAlign w:val="center"/>
                </w:tcPr>
                <w:p>
                  <w:pPr>
                    <w:adjustRightInd w:val="0"/>
                    <w:snapToGrid w:val="0"/>
                    <w:jc w:val="center"/>
                    <w:rPr>
                      <w:rFonts w:cs="宋体"/>
                      <w:kern w:val="0"/>
                      <w:szCs w:val="24"/>
                    </w:rPr>
                  </w:pPr>
                  <w:r>
                    <w:rPr>
                      <w:rFonts w:hint="eastAsia" w:cs="宋体"/>
                      <w:kern w:val="0"/>
                      <w:szCs w:val="24"/>
                    </w:rPr>
                    <w:t>有组织排放总计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30" w:type="dxa"/>
                  <w:gridSpan w:val="2"/>
                  <w:vAlign w:val="center"/>
                </w:tcPr>
                <w:p>
                  <w:pPr>
                    <w:adjustRightInd w:val="0"/>
                    <w:snapToGrid w:val="0"/>
                    <w:jc w:val="center"/>
                    <w:rPr>
                      <w:rFonts w:cs="宋体"/>
                      <w:kern w:val="0"/>
                      <w:szCs w:val="24"/>
                    </w:rPr>
                  </w:pPr>
                  <w:r>
                    <w:rPr>
                      <w:rFonts w:hint="eastAsia" w:cs="宋体"/>
                      <w:kern w:val="0"/>
                      <w:szCs w:val="24"/>
                    </w:rPr>
                    <w:t>有组织排放口总计</w:t>
                  </w:r>
                </w:p>
              </w:tc>
              <w:tc>
                <w:tcPr>
                  <w:tcW w:w="4095" w:type="dxa"/>
                  <w:gridSpan w:val="3"/>
                  <w:vAlign w:val="center"/>
                </w:tcPr>
                <w:p>
                  <w:pPr>
                    <w:adjustRightInd w:val="0"/>
                    <w:snapToGrid w:val="0"/>
                    <w:jc w:val="center"/>
                    <w:rPr>
                      <w:rFonts w:ascii="Times New Roman" w:hAnsi="Times New Roman" w:eastAsia="宋体" w:cs="宋体"/>
                      <w:kern w:val="0"/>
                      <w:sz w:val="21"/>
                      <w:szCs w:val="24"/>
                      <w:lang w:val="en-US" w:eastAsia="zh-CN" w:bidi="ar-SA"/>
                    </w:rPr>
                  </w:pPr>
                  <w:r>
                    <w:rPr>
                      <w:rFonts w:hint="eastAsia" w:cs="宋体"/>
                      <w:kern w:val="0"/>
                      <w:szCs w:val="24"/>
                    </w:rPr>
                    <w:t>颗粒物</w:t>
                  </w:r>
                </w:p>
              </w:tc>
              <w:tc>
                <w:tcPr>
                  <w:tcW w:w="1366" w:type="dxa"/>
                  <w:vAlign w:val="center"/>
                </w:tcPr>
                <w:p>
                  <w:pPr>
                    <w:adjustRightInd w:val="0"/>
                    <w:snapToGrid w:val="0"/>
                    <w:jc w:val="center"/>
                    <w:rPr>
                      <w:rFonts w:ascii="Times New Roman" w:hAnsi="Times New Roman" w:eastAsia="宋体" w:cs="宋体"/>
                      <w:kern w:val="0"/>
                      <w:sz w:val="21"/>
                      <w:szCs w:val="24"/>
                      <w:lang w:val="en-US" w:eastAsia="zh-CN" w:bidi="ar-SA"/>
                    </w:rPr>
                  </w:pPr>
                  <w:r>
                    <w:rPr>
                      <w:rFonts w:hint="eastAsia" w:cs="宋体"/>
                      <w:kern w:val="0"/>
                      <w:szCs w:val="24"/>
                    </w:rPr>
                    <w:t>0.027</w:t>
                  </w:r>
                </w:p>
              </w:tc>
            </w:tr>
          </w:tbl>
          <w:p>
            <w:pPr>
              <w:spacing w:beforeLines="50" w:line="360" w:lineRule="auto"/>
              <w:ind w:firstLine="480" w:firstLineChars="200"/>
              <w:rPr>
                <w:rFonts w:ascii="宋体" w:cs="宋体"/>
                <w:kern w:val="0"/>
                <w:sz w:val="24"/>
                <w:szCs w:val="24"/>
              </w:rPr>
            </w:pPr>
            <w:r>
              <w:rPr>
                <w:rFonts w:hint="eastAsia" w:ascii="宋体" w:hAnsi="宋体" w:cs="宋体"/>
                <w:kern w:val="0"/>
                <w:sz w:val="24"/>
                <w:szCs w:val="24"/>
              </w:rPr>
              <w:t>②</w:t>
            </w:r>
            <w:r>
              <w:rPr>
                <w:rFonts w:hint="eastAsia" w:ascii="宋体" w:cs="宋体"/>
                <w:kern w:val="0"/>
                <w:sz w:val="24"/>
                <w:szCs w:val="24"/>
              </w:rPr>
              <w:t>无组织排放量计算</w:t>
            </w:r>
          </w:p>
          <w:p>
            <w:pPr>
              <w:adjustRightInd w:val="0"/>
              <w:snapToGrid w:val="0"/>
              <w:jc w:val="center"/>
              <w:rPr>
                <w:rFonts w:hint="eastAsia" w:ascii="宋体" w:cs="宋体"/>
                <w:b/>
                <w:kern w:val="0"/>
                <w:sz w:val="24"/>
                <w:szCs w:val="24"/>
              </w:rPr>
            </w:pPr>
          </w:p>
          <w:p>
            <w:pPr>
              <w:adjustRightInd w:val="0"/>
              <w:snapToGrid w:val="0"/>
              <w:jc w:val="center"/>
              <w:rPr>
                <w:rFonts w:hint="eastAsia" w:ascii="宋体" w:cs="宋体"/>
                <w:b/>
                <w:kern w:val="0"/>
                <w:sz w:val="24"/>
                <w:szCs w:val="24"/>
              </w:rPr>
            </w:pPr>
          </w:p>
          <w:p>
            <w:pPr>
              <w:adjustRightInd w:val="0"/>
              <w:snapToGrid w:val="0"/>
              <w:jc w:val="center"/>
              <w:rPr>
                <w:rFonts w:hint="eastAsia" w:ascii="宋体" w:cs="宋体"/>
                <w:b/>
                <w:kern w:val="0"/>
                <w:sz w:val="24"/>
                <w:szCs w:val="24"/>
              </w:rPr>
            </w:pPr>
          </w:p>
          <w:p>
            <w:pPr>
              <w:adjustRightInd w:val="0"/>
              <w:snapToGrid w:val="0"/>
              <w:jc w:val="center"/>
              <w:rPr>
                <w:rFonts w:hint="eastAsia" w:ascii="宋体" w:cs="宋体"/>
                <w:b/>
                <w:kern w:val="0"/>
                <w:sz w:val="24"/>
                <w:szCs w:val="24"/>
              </w:rPr>
            </w:pPr>
          </w:p>
          <w:p>
            <w:pPr>
              <w:adjustRightInd w:val="0"/>
              <w:snapToGrid w:val="0"/>
              <w:jc w:val="center"/>
              <w:rPr>
                <w:rFonts w:ascii="宋体" w:cs="宋体"/>
                <w:b/>
                <w:kern w:val="0"/>
                <w:sz w:val="24"/>
                <w:szCs w:val="24"/>
              </w:rPr>
            </w:pPr>
            <w:r>
              <w:rPr>
                <w:rFonts w:hint="eastAsia" w:ascii="宋体" w:cs="宋体"/>
                <w:b/>
                <w:kern w:val="0"/>
                <w:sz w:val="24"/>
                <w:szCs w:val="24"/>
              </w:rPr>
              <w:t>表</w:t>
            </w:r>
            <w:r>
              <w:rPr>
                <w:b/>
                <w:kern w:val="0"/>
                <w:sz w:val="24"/>
                <w:szCs w:val="24"/>
              </w:rPr>
              <w:t>7-</w:t>
            </w:r>
            <w:r>
              <w:rPr>
                <w:rFonts w:hint="eastAsia"/>
                <w:b/>
                <w:kern w:val="0"/>
                <w:sz w:val="24"/>
                <w:szCs w:val="24"/>
              </w:rPr>
              <w:t>9</w:t>
            </w:r>
            <w:r>
              <w:rPr>
                <w:rFonts w:hint="eastAsia" w:ascii="宋体" w:cs="宋体"/>
                <w:b/>
                <w:kern w:val="0"/>
                <w:sz w:val="24"/>
                <w:szCs w:val="24"/>
              </w:rPr>
              <w:t xml:space="preserve"> 大气污染物无组织排放量核算表</w:t>
            </w:r>
          </w:p>
          <w:tbl>
            <w:tblPr>
              <w:tblStyle w:val="34"/>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1011"/>
              <w:gridCol w:w="1012"/>
              <w:gridCol w:w="1012"/>
              <w:gridCol w:w="1710"/>
              <w:gridCol w:w="1296"/>
              <w:gridCol w:w="11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010" w:type="dxa"/>
                  <w:vMerge w:val="restart"/>
                  <w:vAlign w:val="center"/>
                </w:tcPr>
                <w:p>
                  <w:pPr>
                    <w:adjustRightInd w:val="0"/>
                    <w:snapToGrid w:val="0"/>
                    <w:jc w:val="center"/>
                    <w:rPr>
                      <w:rFonts w:cs="宋体"/>
                      <w:b/>
                      <w:kern w:val="0"/>
                      <w:szCs w:val="24"/>
                    </w:rPr>
                  </w:pPr>
                  <w:r>
                    <w:rPr>
                      <w:rFonts w:hint="eastAsia" w:cs="宋体"/>
                      <w:b/>
                      <w:kern w:val="0"/>
                      <w:szCs w:val="24"/>
                    </w:rPr>
                    <w:t>序号</w:t>
                  </w:r>
                </w:p>
              </w:tc>
              <w:tc>
                <w:tcPr>
                  <w:tcW w:w="1011" w:type="dxa"/>
                  <w:vMerge w:val="restart"/>
                  <w:vAlign w:val="center"/>
                </w:tcPr>
                <w:p>
                  <w:pPr>
                    <w:adjustRightInd w:val="0"/>
                    <w:snapToGrid w:val="0"/>
                    <w:jc w:val="center"/>
                    <w:rPr>
                      <w:rFonts w:cs="宋体"/>
                      <w:b/>
                      <w:kern w:val="0"/>
                      <w:szCs w:val="24"/>
                    </w:rPr>
                  </w:pPr>
                  <w:r>
                    <w:rPr>
                      <w:rFonts w:hint="eastAsia" w:cs="宋体"/>
                      <w:b/>
                      <w:kern w:val="0"/>
                      <w:szCs w:val="24"/>
                    </w:rPr>
                    <w:t>产污环节</w:t>
                  </w:r>
                </w:p>
              </w:tc>
              <w:tc>
                <w:tcPr>
                  <w:tcW w:w="1012" w:type="dxa"/>
                  <w:vMerge w:val="restart"/>
                  <w:vAlign w:val="center"/>
                </w:tcPr>
                <w:p>
                  <w:pPr>
                    <w:adjustRightInd w:val="0"/>
                    <w:snapToGrid w:val="0"/>
                    <w:jc w:val="center"/>
                    <w:rPr>
                      <w:rFonts w:cs="宋体"/>
                      <w:b/>
                      <w:kern w:val="0"/>
                      <w:szCs w:val="24"/>
                    </w:rPr>
                  </w:pPr>
                  <w:r>
                    <w:rPr>
                      <w:rFonts w:hint="eastAsia" w:cs="宋体"/>
                      <w:b/>
                      <w:kern w:val="0"/>
                      <w:szCs w:val="24"/>
                    </w:rPr>
                    <w:t>污染物</w:t>
                  </w:r>
                </w:p>
              </w:tc>
              <w:tc>
                <w:tcPr>
                  <w:tcW w:w="1012" w:type="dxa"/>
                  <w:vMerge w:val="restart"/>
                  <w:vAlign w:val="center"/>
                </w:tcPr>
                <w:p>
                  <w:pPr>
                    <w:adjustRightInd w:val="0"/>
                    <w:snapToGrid w:val="0"/>
                    <w:jc w:val="center"/>
                    <w:rPr>
                      <w:rFonts w:cs="宋体"/>
                      <w:b/>
                      <w:kern w:val="0"/>
                      <w:szCs w:val="24"/>
                    </w:rPr>
                  </w:pPr>
                  <w:r>
                    <w:rPr>
                      <w:rFonts w:hint="eastAsia" w:cs="宋体"/>
                      <w:b/>
                      <w:kern w:val="0"/>
                      <w:szCs w:val="24"/>
                    </w:rPr>
                    <w:t>主要污染物防治措施</w:t>
                  </w:r>
                </w:p>
              </w:tc>
              <w:tc>
                <w:tcPr>
                  <w:tcW w:w="3006" w:type="dxa"/>
                  <w:gridSpan w:val="2"/>
                  <w:vAlign w:val="center"/>
                </w:tcPr>
                <w:p>
                  <w:pPr>
                    <w:adjustRightInd w:val="0"/>
                    <w:snapToGrid w:val="0"/>
                    <w:jc w:val="center"/>
                    <w:rPr>
                      <w:rFonts w:cs="宋体"/>
                      <w:b/>
                      <w:kern w:val="0"/>
                      <w:szCs w:val="24"/>
                    </w:rPr>
                  </w:pPr>
                  <w:r>
                    <w:rPr>
                      <w:rFonts w:hint="eastAsia" w:cs="宋体"/>
                      <w:b/>
                      <w:kern w:val="0"/>
                      <w:szCs w:val="24"/>
                    </w:rPr>
                    <w:t>国家或地方污染物排放标准</w:t>
                  </w:r>
                </w:p>
              </w:tc>
              <w:tc>
                <w:tcPr>
                  <w:tcW w:w="1145" w:type="dxa"/>
                  <w:vMerge w:val="restart"/>
                  <w:vAlign w:val="center"/>
                </w:tcPr>
                <w:p>
                  <w:pPr>
                    <w:adjustRightInd w:val="0"/>
                    <w:snapToGrid w:val="0"/>
                    <w:jc w:val="center"/>
                    <w:rPr>
                      <w:rFonts w:cs="宋体"/>
                      <w:b/>
                      <w:kern w:val="0"/>
                      <w:szCs w:val="24"/>
                    </w:rPr>
                  </w:pPr>
                  <w:r>
                    <w:rPr>
                      <w:rFonts w:hint="eastAsia" w:cs="宋体"/>
                      <w:b/>
                      <w:kern w:val="0"/>
                      <w:szCs w:val="24"/>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010" w:type="dxa"/>
                  <w:vMerge w:val="continue"/>
                  <w:vAlign w:val="center"/>
                </w:tcPr>
                <w:p>
                  <w:pPr>
                    <w:adjustRightInd w:val="0"/>
                    <w:snapToGrid w:val="0"/>
                    <w:jc w:val="center"/>
                    <w:rPr>
                      <w:rFonts w:cs="宋体"/>
                      <w:kern w:val="0"/>
                      <w:szCs w:val="24"/>
                    </w:rPr>
                  </w:pPr>
                </w:p>
              </w:tc>
              <w:tc>
                <w:tcPr>
                  <w:tcW w:w="1011" w:type="dxa"/>
                  <w:vMerge w:val="continue"/>
                  <w:vAlign w:val="center"/>
                </w:tcPr>
                <w:p>
                  <w:pPr>
                    <w:adjustRightInd w:val="0"/>
                    <w:snapToGrid w:val="0"/>
                    <w:jc w:val="center"/>
                    <w:rPr>
                      <w:rFonts w:cs="宋体"/>
                      <w:kern w:val="0"/>
                      <w:szCs w:val="24"/>
                    </w:rPr>
                  </w:pPr>
                </w:p>
              </w:tc>
              <w:tc>
                <w:tcPr>
                  <w:tcW w:w="1012" w:type="dxa"/>
                  <w:vMerge w:val="continue"/>
                  <w:vAlign w:val="center"/>
                </w:tcPr>
                <w:p>
                  <w:pPr>
                    <w:adjustRightInd w:val="0"/>
                    <w:snapToGrid w:val="0"/>
                    <w:jc w:val="center"/>
                    <w:rPr>
                      <w:rFonts w:cs="宋体"/>
                      <w:kern w:val="0"/>
                      <w:szCs w:val="24"/>
                    </w:rPr>
                  </w:pPr>
                </w:p>
              </w:tc>
              <w:tc>
                <w:tcPr>
                  <w:tcW w:w="1012" w:type="dxa"/>
                  <w:vMerge w:val="continue"/>
                  <w:vAlign w:val="center"/>
                </w:tcPr>
                <w:p>
                  <w:pPr>
                    <w:adjustRightInd w:val="0"/>
                    <w:snapToGrid w:val="0"/>
                    <w:jc w:val="center"/>
                    <w:rPr>
                      <w:rFonts w:cs="宋体"/>
                      <w:kern w:val="0"/>
                      <w:szCs w:val="24"/>
                    </w:rPr>
                  </w:pPr>
                </w:p>
              </w:tc>
              <w:tc>
                <w:tcPr>
                  <w:tcW w:w="1710" w:type="dxa"/>
                  <w:vAlign w:val="center"/>
                </w:tcPr>
                <w:p>
                  <w:pPr>
                    <w:adjustRightInd w:val="0"/>
                    <w:snapToGrid w:val="0"/>
                    <w:jc w:val="center"/>
                    <w:rPr>
                      <w:rFonts w:cs="宋体"/>
                      <w:b/>
                      <w:kern w:val="0"/>
                      <w:szCs w:val="24"/>
                    </w:rPr>
                  </w:pPr>
                  <w:r>
                    <w:rPr>
                      <w:rFonts w:hint="eastAsia" w:cs="宋体"/>
                      <w:b/>
                      <w:kern w:val="0"/>
                      <w:szCs w:val="24"/>
                    </w:rPr>
                    <w:t>标准名称</w:t>
                  </w:r>
                </w:p>
              </w:tc>
              <w:tc>
                <w:tcPr>
                  <w:tcW w:w="1296" w:type="dxa"/>
                  <w:vAlign w:val="center"/>
                </w:tcPr>
                <w:p>
                  <w:pPr>
                    <w:adjustRightInd w:val="0"/>
                    <w:snapToGrid w:val="0"/>
                    <w:jc w:val="center"/>
                    <w:rPr>
                      <w:rFonts w:cs="宋体"/>
                      <w:b/>
                      <w:kern w:val="0"/>
                      <w:szCs w:val="24"/>
                    </w:rPr>
                  </w:pPr>
                  <w:r>
                    <w:rPr>
                      <w:rFonts w:hint="eastAsia" w:cs="宋体"/>
                      <w:b/>
                      <w:kern w:val="0"/>
                      <w:szCs w:val="24"/>
                    </w:rPr>
                    <w:t>浓度限值（mg/m</w:t>
                  </w:r>
                  <w:r>
                    <w:rPr>
                      <w:rFonts w:hint="eastAsia" w:cs="宋体"/>
                      <w:b/>
                      <w:kern w:val="0"/>
                      <w:szCs w:val="24"/>
                      <w:vertAlign w:val="superscript"/>
                    </w:rPr>
                    <w:t>3</w:t>
                  </w:r>
                  <w:r>
                    <w:rPr>
                      <w:rFonts w:hint="eastAsia" w:cs="宋体"/>
                      <w:b/>
                      <w:kern w:val="0"/>
                      <w:szCs w:val="24"/>
                    </w:rPr>
                    <w:t>）</w:t>
                  </w:r>
                </w:p>
              </w:tc>
              <w:tc>
                <w:tcPr>
                  <w:tcW w:w="1145" w:type="dxa"/>
                  <w:vMerge w:val="continue"/>
                  <w:vAlign w:val="center"/>
                </w:tcPr>
                <w:p>
                  <w:pPr>
                    <w:adjustRightInd w:val="0"/>
                    <w:snapToGrid w:val="0"/>
                    <w:jc w:val="center"/>
                    <w:rPr>
                      <w:rFonts w:cs="宋体"/>
                      <w:kern w:val="0"/>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010" w:type="dxa"/>
                  <w:vAlign w:val="center"/>
                </w:tcPr>
                <w:p>
                  <w:pPr>
                    <w:adjustRightInd w:val="0"/>
                    <w:snapToGrid w:val="0"/>
                    <w:jc w:val="center"/>
                    <w:rPr>
                      <w:rFonts w:cs="宋体"/>
                      <w:kern w:val="0"/>
                      <w:szCs w:val="24"/>
                    </w:rPr>
                  </w:pPr>
                  <w:r>
                    <w:rPr>
                      <w:rFonts w:hint="eastAsia" w:cs="宋体"/>
                      <w:kern w:val="0"/>
                      <w:szCs w:val="24"/>
                    </w:rPr>
                    <w:t>1</w:t>
                  </w:r>
                </w:p>
              </w:tc>
              <w:tc>
                <w:tcPr>
                  <w:tcW w:w="1011" w:type="dxa"/>
                  <w:vAlign w:val="center"/>
                </w:tcPr>
                <w:p>
                  <w:pPr>
                    <w:adjustRightInd w:val="0"/>
                    <w:snapToGrid w:val="0"/>
                    <w:jc w:val="center"/>
                    <w:rPr>
                      <w:rFonts w:hint="eastAsia" w:eastAsia="宋体"/>
                      <w:szCs w:val="21"/>
                      <w:lang w:eastAsia="zh-CN"/>
                    </w:rPr>
                  </w:pPr>
                  <w:r>
                    <w:rPr>
                      <w:rFonts w:hint="eastAsia"/>
                      <w:szCs w:val="21"/>
                      <w:lang w:eastAsia="zh-CN"/>
                    </w:rPr>
                    <w:t>干漂</w:t>
                  </w:r>
                </w:p>
              </w:tc>
              <w:tc>
                <w:tcPr>
                  <w:tcW w:w="1012" w:type="dxa"/>
                  <w:vAlign w:val="center"/>
                </w:tcPr>
                <w:p>
                  <w:pPr>
                    <w:adjustRightInd w:val="0"/>
                    <w:snapToGrid w:val="0"/>
                    <w:jc w:val="center"/>
                    <w:rPr>
                      <w:rFonts w:cs="宋体"/>
                      <w:kern w:val="0"/>
                      <w:szCs w:val="24"/>
                    </w:rPr>
                  </w:pPr>
                  <w:r>
                    <w:rPr>
                      <w:rFonts w:hint="eastAsia" w:cs="宋体"/>
                      <w:kern w:val="0"/>
                      <w:szCs w:val="24"/>
                    </w:rPr>
                    <w:t>颗粒物</w:t>
                  </w:r>
                </w:p>
              </w:tc>
              <w:tc>
                <w:tcPr>
                  <w:tcW w:w="1012" w:type="dxa"/>
                  <w:vMerge w:val="restart"/>
                  <w:vAlign w:val="center"/>
                </w:tcPr>
                <w:p>
                  <w:pPr>
                    <w:autoSpaceDE w:val="0"/>
                    <w:autoSpaceDN w:val="0"/>
                    <w:adjustRightInd w:val="0"/>
                    <w:snapToGrid w:val="0"/>
                    <w:jc w:val="center"/>
                    <w:rPr>
                      <w:rFonts w:cs="宋体"/>
                      <w:kern w:val="0"/>
                      <w:szCs w:val="21"/>
                    </w:rPr>
                  </w:pPr>
                  <w:r>
                    <w:rPr>
                      <w:rFonts w:hint="eastAsia" w:cs="宋体"/>
                      <w:kern w:val="0"/>
                      <w:szCs w:val="21"/>
                    </w:rPr>
                    <w:t>车间无</w:t>
                  </w:r>
                </w:p>
                <w:p>
                  <w:pPr>
                    <w:adjustRightInd w:val="0"/>
                    <w:snapToGrid w:val="0"/>
                    <w:jc w:val="center"/>
                    <w:rPr>
                      <w:rFonts w:cs="宋体"/>
                      <w:kern w:val="0"/>
                      <w:szCs w:val="24"/>
                    </w:rPr>
                  </w:pPr>
                  <w:r>
                    <w:rPr>
                      <w:rFonts w:hint="eastAsia" w:cs="宋体"/>
                      <w:kern w:val="0"/>
                      <w:szCs w:val="21"/>
                    </w:rPr>
                    <w:t>组织形式排放</w:t>
                  </w:r>
                </w:p>
              </w:tc>
              <w:tc>
                <w:tcPr>
                  <w:tcW w:w="1710" w:type="dxa"/>
                  <w:vMerge w:val="restart"/>
                  <w:vAlign w:val="center"/>
                </w:tcPr>
                <w:p>
                  <w:pPr>
                    <w:autoSpaceDE w:val="0"/>
                    <w:autoSpaceDN w:val="0"/>
                    <w:adjustRightInd w:val="0"/>
                    <w:snapToGrid w:val="0"/>
                    <w:jc w:val="center"/>
                    <w:rPr>
                      <w:kern w:val="0"/>
                      <w:szCs w:val="21"/>
                    </w:rPr>
                  </w:pPr>
                  <w:r>
                    <w:rPr>
                      <w:kern w:val="0"/>
                      <w:szCs w:val="21"/>
                    </w:rPr>
                    <w:t>GB16297-</w:t>
                  </w:r>
                </w:p>
                <w:p>
                  <w:pPr>
                    <w:adjustRightInd w:val="0"/>
                    <w:snapToGrid w:val="0"/>
                    <w:jc w:val="center"/>
                    <w:rPr>
                      <w:rFonts w:cs="宋体"/>
                      <w:kern w:val="0"/>
                      <w:szCs w:val="24"/>
                    </w:rPr>
                  </w:pPr>
                  <w:r>
                    <w:rPr>
                      <w:kern w:val="0"/>
                      <w:szCs w:val="21"/>
                    </w:rPr>
                    <w:t>1996</w:t>
                  </w:r>
                </w:p>
              </w:tc>
              <w:tc>
                <w:tcPr>
                  <w:tcW w:w="1296" w:type="dxa"/>
                  <w:vMerge w:val="restart"/>
                  <w:vAlign w:val="center"/>
                </w:tcPr>
                <w:p>
                  <w:pPr>
                    <w:adjustRightInd w:val="0"/>
                    <w:snapToGrid w:val="0"/>
                    <w:jc w:val="center"/>
                    <w:rPr>
                      <w:rFonts w:cs="宋体"/>
                      <w:kern w:val="0"/>
                      <w:szCs w:val="24"/>
                    </w:rPr>
                  </w:pPr>
                  <w:r>
                    <w:rPr>
                      <w:rFonts w:hint="eastAsia" w:cs="宋体"/>
                      <w:kern w:val="0"/>
                      <w:szCs w:val="24"/>
                    </w:rPr>
                    <w:t>1</w:t>
                  </w:r>
                </w:p>
              </w:tc>
              <w:tc>
                <w:tcPr>
                  <w:tcW w:w="1145" w:type="dxa"/>
                  <w:vAlign w:val="center"/>
                </w:tcPr>
                <w:p>
                  <w:pPr>
                    <w:widowControl/>
                    <w:adjustRightInd w:val="0"/>
                    <w:snapToGrid w:val="0"/>
                    <w:jc w:val="center"/>
                    <w:rPr>
                      <w:bCs/>
                      <w:szCs w:val="24"/>
                    </w:rPr>
                  </w:pPr>
                  <w:r>
                    <w:rPr>
                      <w:bCs/>
                      <w:szCs w:val="24"/>
                    </w:rPr>
                    <w:t>0.</w:t>
                  </w:r>
                  <w:r>
                    <w:rPr>
                      <w:rFonts w:hint="eastAsia"/>
                      <w:bCs/>
                      <w:szCs w:val="24"/>
                    </w:rPr>
                    <w:t>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010" w:type="dxa"/>
                  <w:vAlign w:val="center"/>
                </w:tcPr>
                <w:p>
                  <w:pPr>
                    <w:adjustRightInd w:val="0"/>
                    <w:snapToGrid w:val="0"/>
                    <w:jc w:val="center"/>
                    <w:rPr>
                      <w:rFonts w:hint="eastAsia" w:eastAsia="宋体" w:cs="宋体"/>
                      <w:kern w:val="0"/>
                      <w:szCs w:val="24"/>
                      <w:lang w:eastAsia="zh-CN"/>
                    </w:rPr>
                  </w:pPr>
                  <w:r>
                    <w:rPr>
                      <w:rFonts w:hint="eastAsia" w:cs="宋体"/>
                      <w:kern w:val="0"/>
                      <w:szCs w:val="24"/>
                      <w:lang w:val="en-US" w:eastAsia="zh-CN"/>
                    </w:rPr>
                    <w:t>2</w:t>
                  </w:r>
                </w:p>
              </w:tc>
              <w:tc>
                <w:tcPr>
                  <w:tcW w:w="1011" w:type="dxa"/>
                  <w:vAlign w:val="center"/>
                </w:tcPr>
                <w:p>
                  <w:pPr>
                    <w:adjustRightInd w:val="0"/>
                    <w:snapToGrid w:val="0"/>
                    <w:jc w:val="center"/>
                    <w:rPr>
                      <w:szCs w:val="21"/>
                    </w:rPr>
                  </w:pPr>
                  <w:r>
                    <w:rPr>
                      <w:rFonts w:hint="eastAsia"/>
                      <w:szCs w:val="21"/>
                    </w:rPr>
                    <w:t>筛分</w:t>
                  </w:r>
                </w:p>
              </w:tc>
              <w:tc>
                <w:tcPr>
                  <w:tcW w:w="1012" w:type="dxa"/>
                  <w:vAlign w:val="center"/>
                </w:tcPr>
                <w:p>
                  <w:pPr>
                    <w:adjustRightInd w:val="0"/>
                    <w:snapToGrid w:val="0"/>
                    <w:jc w:val="center"/>
                    <w:rPr>
                      <w:rFonts w:cs="宋体"/>
                      <w:kern w:val="0"/>
                      <w:szCs w:val="24"/>
                    </w:rPr>
                  </w:pPr>
                  <w:r>
                    <w:rPr>
                      <w:rFonts w:hint="eastAsia" w:cs="宋体"/>
                      <w:kern w:val="0"/>
                      <w:szCs w:val="24"/>
                    </w:rPr>
                    <w:t>颗粒物</w:t>
                  </w:r>
                </w:p>
              </w:tc>
              <w:tc>
                <w:tcPr>
                  <w:tcW w:w="1012" w:type="dxa"/>
                  <w:vMerge w:val="continue"/>
                  <w:vAlign w:val="center"/>
                </w:tcPr>
                <w:p>
                  <w:pPr>
                    <w:adjustRightInd w:val="0"/>
                    <w:snapToGrid w:val="0"/>
                    <w:jc w:val="center"/>
                    <w:rPr>
                      <w:rFonts w:cs="宋体"/>
                      <w:kern w:val="0"/>
                      <w:szCs w:val="24"/>
                    </w:rPr>
                  </w:pPr>
                </w:p>
              </w:tc>
              <w:tc>
                <w:tcPr>
                  <w:tcW w:w="1710" w:type="dxa"/>
                  <w:vMerge w:val="continue"/>
                  <w:vAlign w:val="center"/>
                </w:tcPr>
                <w:p>
                  <w:pPr>
                    <w:adjustRightInd w:val="0"/>
                    <w:snapToGrid w:val="0"/>
                    <w:jc w:val="center"/>
                    <w:rPr>
                      <w:rFonts w:cs="宋体"/>
                      <w:kern w:val="0"/>
                      <w:szCs w:val="24"/>
                    </w:rPr>
                  </w:pPr>
                </w:p>
              </w:tc>
              <w:tc>
                <w:tcPr>
                  <w:tcW w:w="1296" w:type="dxa"/>
                  <w:vMerge w:val="continue"/>
                  <w:vAlign w:val="center"/>
                </w:tcPr>
                <w:p>
                  <w:pPr>
                    <w:adjustRightInd w:val="0"/>
                    <w:snapToGrid w:val="0"/>
                    <w:jc w:val="center"/>
                    <w:rPr>
                      <w:rFonts w:cs="宋体"/>
                      <w:kern w:val="0"/>
                      <w:szCs w:val="24"/>
                    </w:rPr>
                  </w:pPr>
                </w:p>
              </w:tc>
              <w:tc>
                <w:tcPr>
                  <w:tcW w:w="1145" w:type="dxa"/>
                  <w:vAlign w:val="center"/>
                </w:tcPr>
                <w:p>
                  <w:pPr>
                    <w:widowControl/>
                    <w:adjustRightInd w:val="0"/>
                    <w:snapToGrid w:val="0"/>
                    <w:jc w:val="center"/>
                    <w:rPr>
                      <w:szCs w:val="24"/>
                    </w:rPr>
                  </w:pPr>
                  <w:r>
                    <w:rPr>
                      <w:szCs w:val="24"/>
                    </w:rPr>
                    <w:t>0.</w:t>
                  </w:r>
                  <w:r>
                    <w:rPr>
                      <w:rFonts w:hint="eastAsia"/>
                      <w:szCs w:val="24"/>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8196" w:type="dxa"/>
                  <w:gridSpan w:val="7"/>
                  <w:vAlign w:val="center"/>
                </w:tcPr>
                <w:p>
                  <w:pPr>
                    <w:adjustRightInd w:val="0"/>
                    <w:snapToGrid w:val="0"/>
                    <w:jc w:val="center"/>
                    <w:rPr>
                      <w:rFonts w:cs="宋体"/>
                      <w:kern w:val="0"/>
                      <w:szCs w:val="24"/>
                    </w:rPr>
                  </w:pPr>
                  <w:r>
                    <w:rPr>
                      <w:rFonts w:hint="eastAsia" w:cs="宋体"/>
                      <w:kern w:val="0"/>
                      <w:szCs w:val="24"/>
                    </w:rPr>
                    <w:t>无组织排放合计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033" w:type="dxa"/>
                  <w:gridSpan w:val="3"/>
                  <w:vAlign w:val="center"/>
                </w:tcPr>
                <w:p>
                  <w:pPr>
                    <w:adjustRightInd w:val="0"/>
                    <w:snapToGrid w:val="0"/>
                    <w:jc w:val="center"/>
                    <w:rPr>
                      <w:rFonts w:cs="宋体"/>
                      <w:kern w:val="0"/>
                      <w:szCs w:val="24"/>
                    </w:rPr>
                  </w:pPr>
                  <w:r>
                    <w:rPr>
                      <w:rFonts w:hint="eastAsia" w:cs="宋体"/>
                      <w:kern w:val="0"/>
                      <w:szCs w:val="24"/>
                    </w:rPr>
                    <w:t>无组织排放口总计</w:t>
                  </w:r>
                </w:p>
              </w:tc>
              <w:tc>
                <w:tcPr>
                  <w:tcW w:w="1012" w:type="dxa"/>
                  <w:vAlign w:val="center"/>
                </w:tcPr>
                <w:p>
                  <w:pPr>
                    <w:adjustRightInd w:val="0"/>
                    <w:snapToGrid w:val="0"/>
                    <w:jc w:val="center"/>
                    <w:rPr>
                      <w:rFonts w:cs="宋体"/>
                      <w:kern w:val="0"/>
                      <w:szCs w:val="24"/>
                    </w:rPr>
                  </w:pPr>
                  <w:r>
                    <w:rPr>
                      <w:rFonts w:hint="eastAsia" w:cs="宋体"/>
                      <w:kern w:val="0"/>
                      <w:szCs w:val="24"/>
                    </w:rPr>
                    <w:t>颗粒物</w:t>
                  </w:r>
                </w:p>
              </w:tc>
              <w:tc>
                <w:tcPr>
                  <w:tcW w:w="4151" w:type="dxa"/>
                  <w:gridSpan w:val="3"/>
                  <w:vAlign w:val="center"/>
                </w:tcPr>
                <w:p>
                  <w:pPr>
                    <w:adjustRightInd w:val="0"/>
                    <w:snapToGrid w:val="0"/>
                    <w:jc w:val="center"/>
                    <w:rPr>
                      <w:rFonts w:cs="宋体"/>
                      <w:kern w:val="0"/>
                      <w:szCs w:val="24"/>
                    </w:rPr>
                  </w:pPr>
                  <w:r>
                    <w:rPr>
                      <w:rFonts w:hint="eastAsia" w:cs="宋体"/>
                      <w:kern w:val="0"/>
                      <w:szCs w:val="24"/>
                    </w:rPr>
                    <w:t>0.33</w:t>
                  </w:r>
                </w:p>
              </w:tc>
            </w:tr>
          </w:tbl>
          <w:p>
            <w:pPr>
              <w:pStyle w:val="123"/>
              <w:numPr>
                <w:ilvl w:val="0"/>
                <w:numId w:val="6"/>
              </w:numPr>
              <w:spacing w:beforeLines="50" w:line="360" w:lineRule="auto"/>
              <w:ind w:left="0" w:firstLine="480"/>
              <w:rPr>
                <w:rFonts w:ascii="宋体" w:cs="宋体"/>
                <w:kern w:val="0"/>
                <w:sz w:val="24"/>
                <w:szCs w:val="24"/>
              </w:rPr>
            </w:pPr>
            <w:r>
              <w:rPr>
                <w:rFonts w:hint="eastAsia" w:ascii="宋体" w:hAnsi="宋体" w:cs="宋体"/>
                <w:kern w:val="0"/>
                <w:sz w:val="24"/>
                <w:szCs w:val="24"/>
              </w:rPr>
              <w:t>项目大气污染物年排放量核算</w:t>
            </w:r>
          </w:p>
          <w:p>
            <w:pPr>
              <w:spacing w:line="360" w:lineRule="auto"/>
              <w:ind w:firstLine="480" w:firstLineChars="200"/>
              <w:rPr>
                <w:rFonts w:ascii="宋体" w:cs="宋体"/>
                <w:kern w:val="0"/>
                <w:sz w:val="24"/>
                <w:szCs w:val="24"/>
              </w:rPr>
            </w:pPr>
            <w:r>
              <w:rPr>
                <w:rFonts w:hint="eastAsia" w:ascii="宋体" w:cs="宋体"/>
                <w:kern w:val="0"/>
                <w:sz w:val="24"/>
                <w:szCs w:val="24"/>
              </w:rPr>
              <w:t>本项目大气污染物年排放核算情况详见表</w:t>
            </w:r>
            <w:r>
              <w:rPr>
                <w:kern w:val="0"/>
                <w:sz w:val="24"/>
                <w:szCs w:val="24"/>
              </w:rPr>
              <w:t>7-</w:t>
            </w:r>
            <w:r>
              <w:rPr>
                <w:rFonts w:hint="eastAsia"/>
                <w:kern w:val="0"/>
                <w:sz w:val="24"/>
                <w:szCs w:val="24"/>
              </w:rPr>
              <w:t>10</w:t>
            </w:r>
            <w:r>
              <w:rPr>
                <w:rFonts w:hint="eastAsia" w:ascii="宋体" w:cs="宋体"/>
                <w:kern w:val="0"/>
                <w:sz w:val="24"/>
                <w:szCs w:val="24"/>
              </w:rPr>
              <w:t>。</w:t>
            </w:r>
          </w:p>
          <w:p>
            <w:pPr>
              <w:adjustRightInd w:val="0"/>
              <w:snapToGrid w:val="0"/>
              <w:jc w:val="center"/>
              <w:rPr>
                <w:rFonts w:cs="宋体,Bold"/>
                <w:b/>
                <w:bCs/>
                <w:kern w:val="0"/>
                <w:sz w:val="24"/>
                <w:szCs w:val="24"/>
              </w:rPr>
            </w:pPr>
            <w:r>
              <w:rPr>
                <w:rFonts w:hint="eastAsia" w:cs="宋体"/>
                <w:b/>
                <w:kern w:val="0"/>
                <w:sz w:val="24"/>
                <w:szCs w:val="24"/>
              </w:rPr>
              <w:t xml:space="preserve">表7-10  </w:t>
            </w:r>
            <w:r>
              <w:rPr>
                <w:rFonts w:hint="eastAsia" w:cs="宋体,Bold"/>
                <w:b/>
                <w:bCs/>
                <w:kern w:val="0"/>
                <w:sz w:val="24"/>
                <w:szCs w:val="24"/>
              </w:rPr>
              <w:t>大气污染物年排放量核算表</w:t>
            </w:r>
          </w:p>
          <w:tbl>
            <w:tblPr>
              <w:tblStyle w:val="34"/>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730"/>
              <w:gridCol w:w="2730"/>
              <w:gridCol w:w="27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30" w:type="dxa"/>
                  <w:vAlign w:val="center"/>
                </w:tcPr>
                <w:p>
                  <w:pPr>
                    <w:adjustRightInd w:val="0"/>
                    <w:snapToGrid w:val="0"/>
                    <w:jc w:val="center"/>
                    <w:rPr>
                      <w:rFonts w:cs="宋体"/>
                      <w:b/>
                      <w:kern w:val="0"/>
                      <w:szCs w:val="24"/>
                    </w:rPr>
                  </w:pPr>
                  <w:r>
                    <w:rPr>
                      <w:rFonts w:hint="eastAsia" w:cs="宋体"/>
                      <w:b/>
                      <w:kern w:val="0"/>
                      <w:szCs w:val="24"/>
                    </w:rPr>
                    <w:t>序号</w:t>
                  </w:r>
                </w:p>
              </w:tc>
              <w:tc>
                <w:tcPr>
                  <w:tcW w:w="2730" w:type="dxa"/>
                  <w:vAlign w:val="center"/>
                </w:tcPr>
                <w:p>
                  <w:pPr>
                    <w:adjustRightInd w:val="0"/>
                    <w:snapToGrid w:val="0"/>
                    <w:jc w:val="center"/>
                    <w:rPr>
                      <w:rFonts w:cs="宋体"/>
                      <w:b/>
                      <w:kern w:val="0"/>
                      <w:szCs w:val="24"/>
                    </w:rPr>
                  </w:pPr>
                  <w:r>
                    <w:rPr>
                      <w:rFonts w:hint="eastAsia" w:cs="宋体"/>
                      <w:b/>
                      <w:kern w:val="0"/>
                      <w:szCs w:val="24"/>
                    </w:rPr>
                    <w:t>污染物</w:t>
                  </w:r>
                </w:p>
              </w:tc>
              <w:tc>
                <w:tcPr>
                  <w:tcW w:w="2731" w:type="dxa"/>
                  <w:vAlign w:val="center"/>
                </w:tcPr>
                <w:p>
                  <w:pPr>
                    <w:adjustRightInd w:val="0"/>
                    <w:snapToGrid w:val="0"/>
                    <w:jc w:val="center"/>
                    <w:rPr>
                      <w:rFonts w:cs="宋体"/>
                      <w:b/>
                      <w:kern w:val="0"/>
                      <w:szCs w:val="24"/>
                    </w:rPr>
                  </w:pPr>
                  <w:r>
                    <w:rPr>
                      <w:rFonts w:hint="eastAsia" w:cs="宋体"/>
                      <w:b/>
                      <w:kern w:val="0"/>
                      <w:szCs w:val="24"/>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30" w:type="dxa"/>
                  <w:vAlign w:val="center"/>
                </w:tcPr>
                <w:p>
                  <w:pPr>
                    <w:adjustRightInd w:val="0"/>
                    <w:snapToGrid w:val="0"/>
                    <w:jc w:val="center"/>
                    <w:rPr>
                      <w:rFonts w:hint="eastAsia" w:eastAsia="宋体" w:cs="宋体"/>
                      <w:kern w:val="0"/>
                      <w:szCs w:val="24"/>
                      <w:lang w:val="en-US" w:eastAsia="zh-CN"/>
                    </w:rPr>
                  </w:pPr>
                  <w:r>
                    <w:rPr>
                      <w:rFonts w:hint="eastAsia" w:cs="宋体"/>
                      <w:kern w:val="0"/>
                      <w:szCs w:val="24"/>
                      <w:lang w:val="en-US" w:eastAsia="zh-CN"/>
                    </w:rPr>
                    <w:t>1</w:t>
                  </w:r>
                </w:p>
              </w:tc>
              <w:tc>
                <w:tcPr>
                  <w:tcW w:w="2730" w:type="dxa"/>
                  <w:vAlign w:val="center"/>
                </w:tcPr>
                <w:p>
                  <w:pPr>
                    <w:adjustRightInd w:val="0"/>
                    <w:snapToGrid w:val="0"/>
                    <w:jc w:val="center"/>
                    <w:rPr>
                      <w:rFonts w:cs="宋体"/>
                      <w:kern w:val="0"/>
                      <w:szCs w:val="24"/>
                    </w:rPr>
                  </w:pPr>
                  <w:r>
                    <w:rPr>
                      <w:rFonts w:hint="eastAsia" w:cs="宋体"/>
                      <w:kern w:val="0"/>
                      <w:szCs w:val="24"/>
                    </w:rPr>
                    <w:t>颗粒物</w:t>
                  </w:r>
                </w:p>
              </w:tc>
              <w:tc>
                <w:tcPr>
                  <w:tcW w:w="2731" w:type="dxa"/>
                  <w:vAlign w:val="center"/>
                </w:tcPr>
                <w:p>
                  <w:pPr>
                    <w:adjustRightInd w:val="0"/>
                    <w:snapToGrid w:val="0"/>
                    <w:jc w:val="center"/>
                    <w:rPr>
                      <w:rFonts w:cs="宋体"/>
                      <w:kern w:val="0"/>
                      <w:szCs w:val="24"/>
                    </w:rPr>
                  </w:pPr>
                  <w:r>
                    <w:rPr>
                      <w:rFonts w:hint="eastAsia" w:cs="宋体"/>
                      <w:kern w:val="0"/>
                      <w:szCs w:val="24"/>
                    </w:rPr>
                    <w:t>0.357</w:t>
                  </w:r>
                </w:p>
              </w:tc>
            </w:tr>
          </w:tbl>
          <w:p>
            <w:pPr>
              <w:spacing w:beforeLines="50" w:line="360" w:lineRule="auto"/>
              <w:ind w:firstLine="480" w:firstLineChars="200"/>
              <w:rPr>
                <w:b/>
                <w:sz w:val="24"/>
              </w:rPr>
            </w:pPr>
            <w:r>
              <w:rPr>
                <w:rFonts w:hint="eastAsia"/>
                <w:b/>
                <w:kern w:val="0"/>
                <w:sz w:val="24"/>
              </w:rPr>
              <w:t>大气防护距离</w:t>
            </w:r>
          </w:p>
          <w:p>
            <w:pPr>
              <w:widowControl/>
              <w:spacing w:line="360" w:lineRule="auto"/>
              <w:ind w:firstLine="480" w:firstLineChars="200"/>
              <w:rPr>
                <w:rFonts w:ascii="宋体" w:hAnsi="宋体" w:cs="宋体"/>
                <w:kern w:val="0"/>
                <w:sz w:val="24"/>
                <w:szCs w:val="24"/>
              </w:rPr>
            </w:pPr>
            <w:r>
              <w:rPr>
                <w:rFonts w:hint="eastAsia" w:hAnsi="宋体"/>
                <w:sz w:val="24"/>
              </w:rPr>
              <w:t>根据《环境影响评价导则</w:t>
            </w:r>
            <w:r>
              <w:rPr>
                <w:rFonts w:hAnsi="宋体"/>
                <w:sz w:val="24"/>
              </w:rPr>
              <w:t>-</w:t>
            </w:r>
            <w:r>
              <w:rPr>
                <w:rFonts w:hint="eastAsia" w:hAnsi="宋体"/>
                <w:sz w:val="24"/>
              </w:rPr>
              <w:t>大气环境》（</w:t>
            </w:r>
            <w:r>
              <w:rPr>
                <w:rFonts w:hAnsi="宋体"/>
                <w:sz w:val="24"/>
              </w:rPr>
              <w:t>HJ2.2-20</w:t>
            </w:r>
            <w:r>
              <w:rPr>
                <w:rFonts w:hint="eastAsia" w:hAnsi="宋体"/>
                <w:sz w:val="24"/>
              </w:rPr>
              <w:t>18）中的规定，采用</w:t>
            </w:r>
            <w:r>
              <w:rPr>
                <w:rFonts w:hAnsi="宋体"/>
                <w:sz w:val="24"/>
              </w:rPr>
              <w:t>推荐模式中的大气环境防护距离模式计算改扩建项目无组织源的大气环境防护距离</w:t>
            </w:r>
            <w:r>
              <w:rPr>
                <w:rFonts w:hint="eastAsia" w:hAnsi="宋体"/>
                <w:sz w:val="24"/>
              </w:rPr>
              <w:t>，经计算无组织排放的污染物在厂界均无超标点，无需设置大气环境防护距离。</w:t>
            </w:r>
          </w:p>
          <w:p>
            <w:pPr>
              <w:spacing w:line="360" w:lineRule="auto"/>
              <w:ind w:firstLine="480" w:firstLineChars="200"/>
              <w:rPr>
                <w:b/>
                <w:sz w:val="24"/>
              </w:rPr>
            </w:pPr>
            <w:r>
              <w:rPr>
                <w:rFonts w:hint="eastAsia"/>
                <w:b/>
                <w:sz w:val="24"/>
              </w:rPr>
              <w:t>卫生防护距离</w:t>
            </w:r>
          </w:p>
          <w:p>
            <w:pPr>
              <w:spacing w:line="360" w:lineRule="auto"/>
              <w:ind w:firstLine="480" w:firstLineChars="200"/>
              <w:rPr>
                <w:sz w:val="24"/>
              </w:rPr>
            </w:pPr>
            <w:r>
              <w:rPr>
                <w:sz w:val="24"/>
              </w:rPr>
              <w:t>根据《制定地方大气污染物排放标准的技术方法》（GB/T</w:t>
            </w:r>
            <w:r>
              <w:rPr>
                <w:rFonts w:hint="eastAsia"/>
                <w:sz w:val="24"/>
              </w:rPr>
              <w:t>3840</w:t>
            </w:r>
            <w:r>
              <w:rPr>
                <w:sz w:val="24"/>
              </w:rPr>
              <w:t>-91），确定建设项目的卫生防护距离计算系数见表</w:t>
            </w:r>
            <w:r>
              <w:rPr>
                <w:rFonts w:hint="eastAsia"/>
                <w:sz w:val="24"/>
              </w:rPr>
              <w:t>7-11。</w:t>
            </w:r>
          </w:p>
          <w:p>
            <w:pPr>
              <w:pStyle w:val="117"/>
              <w:spacing w:line="240" w:lineRule="auto"/>
              <w:jc w:val="center"/>
              <w:rPr>
                <w:b/>
              </w:rPr>
            </w:pPr>
            <w:r>
              <w:rPr>
                <w:b/>
              </w:rPr>
              <w:t>表</w:t>
            </w:r>
            <w:r>
              <w:rPr>
                <w:rFonts w:hint="eastAsia"/>
                <w:b/>
              </w:rPr>
              <w:t>7-11　</w:t>
            </w:r>
            <w:r>
              <w:rPr>
                <w:b/>
              </w:rPr>
              <w:t>卫生防护距离计算系数</w:t>
            </w:r>
          </w:p>
          <w:tbl>
            <w:tblPr>
              <w:tblStyle w:val="3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1672"/>
              <w:gridCol w:w="732"/>
              <w:gridCol w:w="763"/>
              <w:gridCol w:w="735"/>
              <w:gridCol w:w="584"/>
              <w:gridCol w:w="584"/>
              <w:gridCol w:w="586"/>
              <w:gridCol w:w="584"/>
              <w:gridCol w:w="585"/>
              <w:gridCol w:w="5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484" w:type="pct"/>
                  <w:vMerge w:val="restart"/>
                  <w:vAlign w:val="center"/>
                </w:tcPr>
                <w:p>
                  <w:pPr>
                    <w:pStyle w:val="117"/>
                    <w:adjustRightInd w:val="0"/>
                    <w:snapToGrid w:val="0"/>
                    <w:spacing w:line="240" w:lineRule="auto"/>
                    <w:jc w:val="center"/>
                    <w:rPr>
                      <w:b/>
                      <w:bCs/>
                      <w:sz w:val="21"/>
                      <w:szCs w:val="21"/>
                    </w:rPr>
                  </w:pPr>
                  <w:r>
                    <w:rPr>
                      <w:b/>
                      <w:bCs/>
                      <w:sz w:val="21"/>
                      <w:szCs w:val="21"/>
                    </w:rPr>
                    <w:t>计算系数</w:t>
                  </w:r>
                </w:p>
              </w:tc>
              <w:tc>
                <w:tcPr>
                  <w:tcW w:w="1019" w:type="pct"/>
                  <w:vMerge w:val="restart"/>
                  <w:vAlign w:val="center"/>
                </w:tcPr>
                <w:p>
                  <w:pPr>
                    <w:pStyle w:val="117"/>
                    <w:adjustRightInd w:val="0"/>
                    <w:snapToGrid w:val="0"/>
                    <w:spacing w:line="240" w:lineRule="auto"/>
                    <w:jc w:val="center"/>
                    <w:rPr>
                      <w:b/>
                      <w:bCs/>
                      <w:sz w:val="21"/>
                      <w:szCs w:val="21"/>
                    </w:rPr>
                  </w:pPr>
                  <w:r>
                    <w:rPr>
                      <w:b/>
                      <w:bCs/>
                      <w:sz w:val="21"/>
                      <w:szCs w:val="21"/>
                    </w:rPr>
                    <w:t>5年平均风速</w:t>
                  </w:r>
                  <w:r>
                    <w:rPr>
                      <w:rFonts w:hint="eastAsia"/>
                      <w:b/>
                      <w:bCs/>
                      <w:sz w:val="21"/>
                      <w:szCs w:val="21"/>
                    </w:rPr>
                    <w:t>(</w:t>
                  </w:r>
                  <w:r>
                    <w:rPr>
                      <w:b/>
                      <w:bCs/>
                      <w:sz w:val="21"/>
                      <w:szCs w:val="21"/>
                    </w:rPr>
                    <w:t>m/s</w:t>
                  </w:r>
                  <w:r>
                    <w:rPr>
                      <w:rFonts w:hint="eastAsia"/>
                      <w:b/>
                      <w:bCs/>
                      <w:sz w:val="21"/>
                      <w:szCs w:val="21"/>
                    </w:rPr>
                    <w:t>)</w:t>
                  </w:r>
                </w:p>
              </w:tc>
              <w:tc>
                <w:tcPr>
                  <w:tcW w:w="3497" w:type="pct"/>
                  <w:gridSpan w:val="9"/>
                  <w:vAlign w:val="center"/>
                </w:tcPr>
                <w:p>
                  <w:pPr>
                    <w:pStyle w:val="117"/>
                    <w:adjustRightInd w:val="0"/>
                    <w:snapToGrid w:val="0"/>
                    <w:spacing w:line="240" w:lineRule="auto"/>
                    <w:jc w:val="center"/>
                    <w:rPr>
                      <w:b/>
                      <w:bCs/>
                      <w:sz w:val="21"/>
                      <w:szCs w:val="21"/>
                    </w:rPr>
                  </w:pPr>
                  <w:r>
                    <w:rPr>
                      <w:b/>
                      <w:bCs/>
                      <w:sz w:val="21"/>
                      <w:szCs w:val="21"/>
                    </w:rPr>
                    <w:t>卫生防护距离L（m）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484" w:type="pct"/>
                  <w:vMerge w:val="continue"/>
                  <w:vAlign w:val="center"/>
                </w:tcPr>
                <w:p>
                  <w:pPr>
                    <w:pStyle w:val="117"/>
                    <w:adjustRightInd w:val="0"/>
                    <w:snapToGrid w:val="0"/>
                    <w:spacing w:line="240" w:lineRule="auto"/>
                    <w:jc w:val="center"/>
                    <w:rPr>
                      <w:sz w:val="21"/>
                      <w:szCs w:val="21"/>
                    </w:rPr>
                  </w:pPr>
                </w:p>
              </w:tc>
              <w:tc>
                <w:tcPr>
                  <w:tcW w:w="1019" w:type="pct"/>
                  <w:vMerge w:val="continue"/>
                  <w:vAlign w:val="center"/>
                </w:tcPr>
                <w:p>
                  <w:pPr>
                    <w:pStyle w:val="117"/>
                    <w:adjustRightInd w:val="0"/>
                    <w:snapToGrid w:val="0"/>
                    <w:spacing w:line="240" w:lineRule="auto"/>
                    <w:jc w:val="center"/>
                    <w:rPr>
                      <w:sz w:val="21"/>
                      <w:szCs w:val="21"/>
                    </w:rPr>
                  </w:pPr>
                </w:p>
              </w:tc>
              <w:tc>
                <w:tcPr>
                  <w:tcW w:w="1359" w:type="pct"/>
                  <w:gridSpan w:val="3"/>
                  <w:vAlign w:val="center"/>
                </w:tcPr>
                <w:p>
                  <w:pPr>
                    <w:pStyle w:val="117"/>
                    <w:adjustRightInd w:val="0"/>
                    <w:snapToGrid w:val="0"/>
                    <w:spacing w:line="240" w:lineRule="auto"/>
                    <w:jc w:val="center"/>
                    <w:rPr>
                      <w:b/>
                      <w:sz w:val="21"/>
                      <w:szCs w:val="21"/>
                    </w:rPr>
                  </w:pPr>
                  <w:r>
                    <w:rPr>
                      <w:b/>
                      <w:sz w:val="21"/>
                      <w:szCs w:val="21"/>
                    </w:rPr>
                    <w:t>L≤1000</w:t>
                  </w:r>
                </w:p>
              </w:tc>
              <w:tc>
                <w:tcPr>
                  <w:tcW w:w="1069" w:type="pct"/>
                  <w:gridSpan w:val="3"/>
                  <w:vAlign w:val="center"/>
                </w:tcPr>
                <w:p>
                  <w:pPr>
                    <w:pStyle w:val="117"/>
                    <w:adjustRightInd w:val="0"/>
                    <w:snapToGrid w:val="0"/>
                    <w:spacing w:line="240" w:lineRule="auto"/>
                    <w:jc w:val="center"/>
                    <w:rPr>
                      <w:b/>
                      <w:sz w:val="21"/>
                      <w:szCs w:val="21"/>
                    </w:rPr>
                  </w:pPr>
                  <w:r>
                    <w:rPr>
                      <w:b/>
                      <w:sz w:val="21"/>
                      <w:szCs w:val="21"/>
                    </w:rPr>
                    <w:t>1000＜L≤2000</w:t>
                  </w:r>
                </w:p>
              </w:tc>
              <w:tc>
                <w:tcPr>
                  <w:tcW w:w="1069" w:type="pct"/>
                  <w:gridSpan w:val="3"/>
                  <w:vAlign w:val="center"/>
                </w:tcPr>
                <w:p>
                  <w:pPr>
                    <w:pStyle w:val="117"/>
                    <w:adjustRightInd w:val="0"/>
                    <w:snapToGrid w:val="0"/>
                    <w:spacing w:line="240" w:lineRule="auto"/>
                    <w:jc w:val="center"/>
                    <w:rPr>
                      <w:b/>
                      <w:sz w:val="21"/>
                      <w:szCs w:val="21"/>
                    </w:rPr>
                  </w:pPr>
                  <w:r>
                    <w:rPr>
                      <w:b/>
                      <w:sz w:val="21"/>
                      <w:szCs w:val="21"/>
                    </w:rPr>
                    <w:t>L＞2000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484" w:type="pct"/>
                  <w:vMerge w:val="continue"/>
                  <w:vAlign w:val="center"/>
                </w:tcPr>
                <w:p>
                  <w:pPr>
                    <w:pStyle w:val="117"/>
                    <w:adjustRightInd w:val="0"/>
                    <w:snapToGrid w:val="0"/>
                    <w:spacing w:line="240" w:lineRule="auto"/>
                    <w:jc w:val="center"/>
                    <w:rPr>
                      <w:sz w:val="21"/>
                      <w:szCs w:val="21"/>
                    </w:rPr>
                  </w:pPr>
                </w:p>
              </w:tc>
              <w:tc>
                <w:tcPr>
                  <w:tcW w:w="1019" w:type="pct"/>
                  <w:vMerge w:val="continue"/>
                  <w:vAlign w:val="center"/>
                </w:tcPr>
                <w:p>
                  <w:pPr>
                    <w:pStyle w:val="117"/>
                    <w:adjustRightInd w:val="0"/>
                    <w:snapToGrid w:val="0"/>
                    <w:spacing w:line="240" w:lineRule="auto"/>
                    <w:jc w:val="center"/>
                    <w:rPr>
                      <w:sz w:val="21"/>
                      <w:szCs w:val="21"/>
                    </w:rPr>
                  </w:pPr>
                </w:p>
              </w:tc>
              <w:tc>
                <w:tcPr>
                  <w:tcW w:w="3497" w:type="pct"/>
                  <w:gridSpan w:val="9"/>
                  <w:vAlign w:val="center"/>
                </w:tcPr>
                <w:p>
                  <w:pPr>
                    <w:pStyle w:val="117"/>
                    <w:adjustRightInd w:val="0"/>
                    <w:snapToGrid w:val="0"/>
                    <w:spacing w:line="240" w:lineRule="auto"/>
                    <w:jc w:val="center"/>
                    <w:rPr>
                      <w:b/>
                      <w:bCs/>
                      <w:sz w:val="21"/>
                      <w:szCs w:val="21"/>
                    </w:rPr>
                  </w:pPr>
                  <w:r>
                    <w:rPr>
                      <w:b/>
                      <w:bCs/>
                      <w:sz w:val="21"/>
                      <w:szCs w:val="21"/>
                    </w:rPr>
                    <w:t>工业大气污染源构成类别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484" w:type="pct"/>
                  <w:vMerge w:val="continue"/>
                  <w:vAlign w:val="center"/>
                </w:tcPr>
                <w:p>
                  <w:pPr>
                    <w:pStyle w:val="117"/>
                    <w:adjustRightInd w:val="0"/>
                    <w:snapToGrid w:val="0"/>
                    <w:spacing w:line="240" w:lineRule="auto"/>
                    <w:jc w:val="center"/>
                    <w:rPr>
                      <w:sz w:val="21"/>
                      <w:szCs w:val="21"/>
                    </w:rPr>
                  </w:pPr>
                </w:p>
              </w:tc>
              <w:tc>
                <w:tcPr>
                  <w:tcW w:w="1019" w:type="pct"/>
                  <w:vMerge w:val="continue"/>
                  <w:vAlign w:val="center"/>
                </w:tcPr>
                <w:p>
                  <w:pPr>
                    <w:pStyle w:val="117"/>
                    <w:adjustRightInd w:val="0"/>
                    <w:snapToGrid w:val="0"/>
                    <w:spacing w:line="240" w:lineRule="auto"/>
                    <w:jc w:val="center"/>
                    <w:rPr>
                      <w:sz w:val="21"/>
                      <w:szCs w:val="21"/>
                    </w:rPr>
                  </w:pPr>
                </w:p>
              </w:tc>
              <w:tc>
                <w:tcPr>
                  <w:tcW w:w="446" w:type="pct"/>
                  <w:vAlign w:val="center"/>
                </w:tcPr>
                <w:p>
                  <w:pPr>
                    <w:pStyle w:val="117"/>
                    <w:adjustRightInd w:val="0"/>
                    <w:snapToGrid w:val="0"/>
                    <w:spacing w:line="240" w:lineRule="auto"/>
                    <w:jc w:val="center"/>
                    <w:rPr>
                      <w:b/>
                      <w:sz w:val="21"/>
                      <w:szCs w:val="21"/>
                    </w:rPr>
                  </w:pPr>
                  <w:r>
                    <w:rPr>
                      <w:rFonts w:hAnsi="宋体"/>
                      <w:b/>
                      <w:sz w:val="21"/>
                      <w:szCs w:val="21"/>
                    </w:rPr>
                    <w:t>Ⅰ</w:t>
                  </w:r>
                </w:p>
              </w:tc>
              <w:tc>
                <w:tcPr>
                  <w:tcW w:w="465" w:type="pct"/>
                  <w:vAlign w:val="center"/>
                </w:tcPr>
                <w:p>
                  <w:pPr>
                    <w:pStyle w:val="117"/>
                    <w:adjustRightInd w:val="0"/>
                    <w:snapToGrid w:val="0"/>
                    <w:spacing w:line="240" w:lineRule="auto"/>
                    <w:jc w:val="center"/>
                    <w:rPr>
                      <w:b/>
                      <w:sz w:val="21"/>
                      <w:szCs w:val="21"/>
                    </w:rPr>
                  </w:pPr>
                  <w:r>
                    <w:rPr>
                      <w:rFonts w:hAnsi="宋体"/>
                      <w:b/>
                      <w:sz w:val="21"/>
                      <w:szCs w:val="21"/>
                    </w:rPr>
                    <w:t>Ⅱ</w:t>
                  </w:r>
                </w:p>
              </w:tc>
              <w:tc>
                <w:tcPr>
                  <w:tcW w:w="448" w:type="pct"/>
                  <w:vAlign w:val="center"/>
                </w:tcPr>
                <w:p>
                  <w:pPr>
                    <w:pStyle w:val="117"/>
                    <w:adjustRightInd w:val="0"/>
                    <w:snapToGrid w:val="0"/>
                    <w:spacing w:line="240" w:lineRule="auto"/>
                    <w:jc w:val="center"/>
                    <w:rPr>
                      <w:b/>
                      <w:sz w:val="21"/>
                      <w:szCs w:val="21"/>
                    </w:rPr>
                  </w:pPr>
                  <w:r>
                    <w:rPr>
                      <w:rFonts w:hAnsi="宋体"/>
                      <w:b/>
                      <w:sz w:val="21"/>
                      <w:szCs w:val="21"/>
                    </w:rPr>
                    <w:t>Ⅲ</w:t>
                  </w:r>
                </w:p>
              </w:tc>
              <w:tc>
                <w:tcPr>
                  <w:tcW w:w="356" w:type="pct"/>
                  <w:vAlign w:val="center"/>
                </w:tcPr>
                <w:p>
                  <w:pPr>
                    <w:pStyle w:val="117"/>
                    <w:adjustRightInd w:val="0"/>
                    <w:snapToGrid w:val="0"/>
                    <w:spacing w:line="240" w:lineRule="auto"/>
                    <w:jc w:val="center"/>
                    <w:rPr>
                      <w:b/>
                      <w:sz w:val="21"/>
                      <w:szCs w:val="21"/>
                    </w:rPr>
                  </w:pPr>
                  <w:r>
                    <w:rPr>
                      <w:rFonts w:hAnsi="宋体"/>
                      <w:b/>
                      <w:sz w:val="21"/>
                      <w:szCs w:val="21"/>
                    </w:rPr>
                    <w:t>Ⅰ</w:t>
                  </w:r>
                </w:p>
              </w:tc>
              <w:tc>
                <w:tcPr>
                  <w:tcW w:w="356" w:type="pct"/>
                  <w:vAlign w:val="center"/>
                </w:tcPr>
                <w:p>
                  <w:pPr>
                    <w:pStyle w:val="117"/>
                    <w:adjustRightInd w:val="0"/>
                    <w:snapToGrid w:val="0"/>
                    <w:spacing w:line="240" w:lineRule="auto"/>
                    <w:jc w:val="center"/>
                    <w:rPr>
                      <w:b/>
                      <w:sz w:val="21"/>
                      <w:szCs w:val="21"/>
                    </w:rPr>
                  </w:pPr>
                  <w:r>
                    <w:rPr>
                      <w:rFonts w:hAnsi="宋体"/>
                      <w:b/>
                      <w:sz w:val="21"/>
                      <w:szCs w:val="21"/>
                    </w:rPr>
                    <w:t>Ⅱ</w:t>
                  </w:r>
                </w:p>
              </w:tc>
              <w:tc>
                <w:tcPr>
                  <w:tcW w:w="357" w:type="pct"/>
                  <w:vAlign w:val="center"/>
                </w:tcPr>
                <w:p>
                  <w:pPr>
                    <w:pStyle w:val="117"/>
                    <w:adjustRightInd w:val="0"/>
                    <w:snapToGrid w:val="0"/>
                    <w:spacing w:line="240" w:lineRule="auto"/>
                    <w:jc w:val="center"/>
                    <w:rPr>
                      <w:b/>
                      <w:sz w:val="21"/>
                      <w:szCs w:val="21"/>
                    </w:rPr>
                  </w:pPr>
                  <w:r>
                    <w:rPr>
                      <w:rFonts w:hAnsi="宋体"/>
                      <w:b/>
                      <w:sz w:val="21"/>
                      <w:szCs w:val="21"/>
                    </w:rPr>
                    <w:t>Ⅲ</w:t>
                  </w:r>
                </w:p>
              </w:tc>
              <w:tc>
                <w:tcPr>
                  <w:tcW w:w="356" w:type="pct"/>
                  <w:vAlign w:val="center"/>
                </w:tcPr>
                <w:p>
                  <w:pPr>
                    <w:pStyle w:val="117"/>
                    <w:adjustRightInd w:val="0"/>
                    <w:snapToGrid w:val="0"/>
                    <w:spacing w:line="240" w:lineRule="auto"/>
                    <w:jc w:val="center"/>
                    <w:rPr>
                      <w:b/>
                      <w:sz w:val="21"/>
                      <w:szCs w:val="21"/>
                    </w:rPr>
                  </w:pPr>
                  <w:r>
                    <w:rPr>
                      <w:rFonts w:hAnsi="宋体"/>
                      <w:b/>
                      <w:sz w:val="21"/>
                      <w:szCs w:val="21"/>
                    </w:rPr>
                    <w:t>Ⅰ</w:t>
                  </w:r>
                </w:p>
              </w:tc>
              <w:tc>
                <w:tcPr>
                  <w:tcW w:w="356" w:type="pct"/>
                  <w:vAlign w:val="center"/>
                </w:tcPr>
                <w:p>
                  <w:pPr>
                    <w:pStyle w:val="117"/>
                    <w:adjustRightInd w:val="0"/>
                    <w:snapToGrid w:val="0"/>
                    <w:spacing w:line="240" w:lineRule="auto"/>
                    <w:jc w:val="center"/>
                    <w:rPr>
                      <w:b/>
                      <w:sz w:val="21"/>
                      <w:szCs w:val="21"/>
                    </w:rPr>
                  </w:pPr>
                  <w:r>
                    <w:rPr>
                      <w:rFonts w:hAnsi="宋体"/>
                      <w:b/>
                      <w:sz w:val="21"/>
                      <w:szCs w:val="21"/>
                    </w:rPr>
                    <w:t>Ⅱ</w:t>
                  </w:r>
                </w:p>
              </w:tc>
              <w:tc>
                <w:tcPr>
                  <w:tcW w:w="357" w:type="pct"/>
                  <w:vAlign w:val="center"/>
                </w:tcPr>
                <w:p>
                  <w:pPr>
                    <w:pStyle w:val="117"/>
                    <w:adjustRightInd w:val="0"/>
                    <w:snapToGrid w:val="0"/>
                    <w:spacing w:line="240" w:lineRule="auto"/>
                    <w:jc w:val="center"/>
                    <w:rPr>
                      <w:b/>
                      <w:sz w:val="21"/>
                      <w:szCs w:val="21"/>
                    </w:rPr>
                  </w:pPr>
                  <w:r>
                    <w:rPr>
                      <w:rFonts w:hAnsi="宋体"/>
                      <w:b/>
                      <w:sz w:val="21"/>
                      <w:szCs w:val="21"/>
                    </w:rPr>
                    <w:t>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484" w:type="pct"/>
                  <w:vMerge w:val="restart"/>
                  <w:vAlign w:val="center"/>
                </w:tcPr>
                <w:p>
                  <w:pPr>
                    <w:pStyle w:val="117"/>
                    <w:adjustRightInd w:val="0"/>
                    <w:snapToGrid w:val="0"/>
                    <w:spacing w:line="240" w:lineRule="auto"/>
                    <w:jc w:val="center"/>
                    <w:rPr>
                      <w:sz w:val="21"/>
                      <w:szCs w:val="21"/>
                    </w:rPr>
                  </w:pPr>
                  <w:r>
                    <w:rPr>
                      <w:sz w:val="21"/>
                      <w:szCs w:val="21"/>
                    </w:rPr>
                    <w:t>A</w:t>
                  </w:r>
                </w:p>
              </w:tc>
              <w:tc>
                <w:tcPr>
                  <w:tcW w:w="1019" w:type="pct"/>
                  <w:vAlign w:val="center"/>
                </w:tcPr>
                <w:p>
                  <w:pPr>
                    <w:pStyle w:val="117"/>
                    <w:adjustRightInd w:val="0"/>
                    <w:snapToGrid w:val="0"/>
                    <w:spacing w:line="240" w:lineRule="auto"/>
                    <w:jc w:val="center"/>
                    <w:rPr>
                      <w:sz w:val="21"/>
                      <w:szCs w:val="21"/>
                    </w:rPr>
                  </w:pPr>
                  <w:r>
                    <w:rPr>
                      <w:sz w:val="21"/>
                      <w:szCs w:val="21"/>
                    </w:rPr>
                    <w:t>&lt;2</w:t>
                  </w:r>
                </w:p>
              </w:tc>
              <w:tc>
                <w:tcPr>
                  <w:tcW w:w="446" w:type="pct"/>
                  <w:vAlign w:val="center"/>
                </w:tcPr>
                <w:p>
                  <w:pPr>
                    <w:pStyle w:val="117"/>
                    <w:adjustRightInd w:val="0"/>
                    <w:snapToGrid w:val="0"/>
                    <w:spacing w:line="240" w:lineRule="auto"/>
                    <w:jc w:val="center"/>
                    <w:rPr>
                      <w:sz w:val="21"/>
                      <w:szCs w:val="21"/>
                    </w:rPr>
                  </w:pPr>
                  <w:r>
                    <w:rPr>
                      <w:sz w:val="21"/>
                      <w:szCs w:val="21"/>
                    </w:rPr>
                    <w:t>400</w:t>
                  </w:r>
                </w:p>
              </w:tc>
              <w:tc>
                <w:tcPr>
                  <w:tcW w:w="465" w:type="pct"/>
                  <w:vAlign w:val="center"/>
                </w:tcPr>
                <w:p>
                  <w:pPr>
                    <w:pStyle w:val="117"/>
                    <w:adjustRightInd w:val="0"/>
                    <w:snapToGrid w:val="0"/>
                    <w:spacing w:line="240" w:lineRule="auto"/>
                    <w:jc w:val="center"/>
                    <w:rPr>
                      <w:sz w:val="21"/>
                      <w:szCs w:val="21"/>
                    </w:rPr>
                  </w:pPr>
                  <w:r>
                    <w:rPr>
                      <w:sz w:val="21"/>
                      <w:szCs w:val="21"/>
                    </w:rPr>
                    <w:t>400</w:t>
                  </w:r>
                </w:p>
              </w:tc>
              <w:tc>
                <w:tcPr>
                  <w:tcW w:w="448" w:type="pct"/>
                  <w:vAlign w:val="center"/>
                </w:tcPr>
                <w:p>
                  <w:pPr>
                    <w:pStyle w:val="117"/>
                    <w:adjustRightInd w:val="0"/>
                    <w:snapToGrid w:val="0"/>
                    <w:spacing w:line="240" w:lineRule="auto"/>
                    <w:jc w:val="center"/>
                    <w:rPr>
                      <w:sz w:val="21"/>
                      <w:szCs w:val="21"/>
                    </w:rPr>
                  </w:pPr>
                  <w:r>
                    <w:rPr>
                      <w:sz w:val="21"/>
                      <w:szCs w:val="21"/>
                    </w:rPr>
                    <w:t>400</w:t>
                  </w:r>
                </w:p>
              </w:tc>
              <w:tc>
                <w:tcPr>
                  <w:tcW w:w="356" w:type="pct"/>
                  <w:vAlign w:val="center"/>
                </w:tcPr>
                <w:p>
                  <w:pPr>
                    <w:pStyle w:val="117"/>
                    <w:adjustRightInd w:val="0"/>
                    <w:snapToGrid w:val="0"/>
                    <w:spacing w:line="240" w:lineRule="auto"/>
                    <w:jc w:val="center"/>
                    <w:rPr>
                      <w:sz w:val="21"/>
                      <w:szCs w:val="21"/>
                    </w:rPr>
                  </w:pPr>
                  <w:r>
                    <w:rPr>
                      <w:sz w:val="21"/>
                      <w:szCs w:val="21"/>
                    </w:rPr>
                    <w:t>400</w:t>
                  </w:r>
                </w:p>
              </w:tc>
              <w:tc>
                <w:tcPr>
                  <w:tcW w:w="356" w:type="pct"/>
                  <w:vAlign w:val="center"/>
                </w:tcPr>
                <w:p>
                  <w:pPr>
                    <w:pStyle w:val="117"/>
                    <w:adjustRightInd w:val="0"/>
                    <w:snapToGrid w:val="0"/>
                    <w:spacing w:line="240" w:lineRule="auto"/>
                    <w:jc w:val="center"/>
                    <w:rPr>
                      <w:sz w:val="21"/>
                      <w:szCs w:val="21"/>
                    </w:rPr>
                  </w:pPr>
                  <w:r>
                    <w:rPr>
                      <w:sz w:val="21"/>
                      <w:szCs w:val="21"/>
                    </w:rPr>
                    <w:t>400</w:t>
                  </w:r>
                </w:p>
              </w:tc>
              <w:tc>
                <w:tcPr>
                  <w:tcW w:w="357" w:type="pct"/>
                  <w:vAlign w:val="center"/>
                </w:tcPr>
                <w:p>
                  <w:pPr>
                    <w:pStyle w:val="117"/>
                    <w:adjustRightInd w:val="0"/>
                    <w:snapToGrid w:val="0"/>
                    <w:spacing w:line="240" w:lineRule="auto"/>
                    <w:jc w:val="center"/>
                    <w:rPr>
                      <w:sz w:val="21"/>
                      <w:szCs w:val="21"/>
                    </w:rPr>
                  </w:pPr>
                  <w:r>
                    <w:rPr>
                      <w:sz w:val="21"/>
                      <w:szCs w:val="21"/>
                    </w:rPr>
                    <w:t>400</w:t>
                  </w:r>
                </w:p>
              </w:tc>
              <w:tc>
                <w:tcPr>
                  <w:tcW w:w="356" w:type="pct"/>
                  <w:vAlign w:val="center"/>
                </w:tcPr>
                <w:p>
                  <w:pPr>
                    <w:pStyle w:val="117"/>
                    <w:adjustRightInd w:val="0"/>
                    <w:snapToGrid w:val="0"/>
                    <w:spacing w:line="240" w:lineRule="auto"/>
                    <w:jc w:val="center"/>
                    <w:rPr>
                      <w:sz w:val="21"/>
                      <w:szCs w:val="21"/>
                    </w:rPr>
                  </w:pPr>
                  <w:r>
                    <w:rPr>
                      <w:sz w:val="21"/>
                      <w:szCs w:val="21"/>
                    </w:rPr>
                    <w:t>80</w:t>
                  </w:r>
                </w:p>
              </w:tc>
              <w:tc>
                <w:tcPr>
                  <w:tcW w:w="356" w:type="pct"/>
                  <w:vAlign w:val="center"/>
                </w:tcPr>
                <w:p>
                  <w:pPr>
                    <w:pStyle w:val="117"/>
                    <w:adjustRightInd w:val="0"/>
                    <w:snapToGrid w:val="0"/>
                    <w:spacing w:line="240" w:lineRule="auto"/>
                    <w:jc w:val="center"/>
                    <w:rPr>
                      <w:sz w:val="21"/>
                      <w:szCs w:val="21"/>
                    </w:rPr>
                  </w:pPr>
                  <w:r>
                    <w:rPr>
                      <w:sz w:val="21"/>
                      <w:szCs w:val="21"/>
                    </w:rPr>
                    <w:t>80</w:t>
                  </w:r>
                </w:p>
              </w:tc>
              <w:tc>
                <w:tcPr>
                  <w:tcW w:w="357" w:type="pct"/>
                  <w:vAlign w:val="center"/>
                </w:tcPr>
                <w:p>
                  <w:pPr>
                    <w:pStyle w:val="117"/>
                    <w:adjustRightInd w:val="0"/>
                    <w:snapToGrid w:val="0"/>
                    <w:spacing w:line="240" w:lineRule="auto"/>
                    <w:jc w:val="center"/>
                    <w:rPr>
                      <w:sz w:val="21"/>
                      <w:szCs w:val="21"/>
                    </w:rPr>
                  </w:pPr>
                  <w:r>
                    <w:rPr>
                      <w:sz w:val="21"/>
                      <w:szCs w:val="21"/>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484" w:type="pct"/>
                  <w:vMerge w:val="continue"/>
                  <w:vAlign w:val="center"/>
                </w:tcPr>
                <w:p>
                  <w:pPr>
                    <w:pStyle w:val="117"/>
                    <w:adjustRightInd w:val="0"/>
                    <w:snapToGrid w:val="0"/>
                    <w:spacing w:line="240" w:lineRule="auto"/>
                    <w:jc w:val="center"/>
                    <w:rPr>
                      <w:sz w:val="21"/>
                      <w:szCs w:val="21"/>
                    </w:rPr>
                  </w:pPr>
                </w:p>
              </w:tc>
              <w:tc>
                <w:tcPr>
                  <w:tcW w:w="1019" w:type="pct"/>
                  <w:vAlign w:val="center"/>
                </w:tcPr>
                <w:p>
                  <w:pPr>
                    <w:pStyle w:val="117"/>
                    <w:adjustRightInd w:val="0"/>
                    <w:snapToGrid w:val="0"/>
                    <w:spacing w:line="240" w:lineRule="auto"/>
                    <w:jc w:val="center"/>
                    <w:rPr>
                      <w:sz w:val="21"/>
                      <w:szCs w:val="21"/>
                    </w:rPr>
                  </w:pPr>
                  <w:r>
                    <w:rPr>
                      <w:sz w:val="21"/>
                      <w:szCs w:val="21"/>
                    </w:rPr>
                    <w:t>2-4</w:t>
                  </w:r>
                </w:p>
              </w:tc>
              <w:tc>
                <w:tcPr>
                  <w:tcW w:w="446" w:type="pct"/>
                  <w:vAlign w:val="center"/>
                </w:tcPr>
                <w:p>
                  <w:pPr>
                    <w:pStyle w:val="117"/>
                    <w:adjustRightInd w:val="0"/>
                    <w:snapToGrid w:val="0"/>
                    <w:spacing w:line="240" w:lineRule="auto"/>
                    <w:jc w:val="center"/>
                    <w:rPr>
                      <w:sz w:val="21"/>
                      <w:szCs w:val="21"/>
                    </w:rPr>
                  </w:pPr>
                  <w:r>
                    <w:rPr>
                      <w:sz w:val="21"/>
                      <w:szCs w:val="21"/>
                    </w:rPr>
                    <w:t>700</w:t>
                  </w:r>
                </w:p>
              </w:tc>
              <w:tc>
                <w:tcPr>
                  <w:tcW w:w="465" w:type="pct"/>
                  <w:vAlign w:val="center"/>
                </w:tcPr>
                <w:p>
                  <w:pPr>
                    <w:pStyle w:val="117"/>
                    <w:adjustRightInd w:val="0"/>
                    <w:snapToGrid w:val="0"/>
                    <w:spacing w:line="240" w:lineRule="auto"/>
                    <w:jc w:val="center"/>
                    <w:rPr>
                      <w:sz w:val="21"/>
                      <w:szCs w:val="21"/>
                    </w:rPr>
                  </w:pPr>
                  <w:r>
                    <w:rPr>
                      <w:sz w:val="21"/>
                      <w:szCs w:val="21"/>
                    </w:rPr>
                    <w:t>470</w:t>
                  </w:r>
                </w:p>
              </w:tc>
              <w:tc>
                <w:tcPr>
                  <w:tcW w:w="448" w:type="pct"/>
                  <w:vAlign w:val="center"/>
                </w:tcPr>
                <w:p>
                  <w:pPr>
                    <w:pStyle w:val="117"/>
                    <w:adjustRightInd w:val="0"/>
                    <w:snapToGrid w:val="0"/>
                    <w:spacing w:line="240" w:lineRule="auto"/>
                    <w:jc w:val="center"/>
                    <w:rPr>
                      <w:sz w:val="21"/>
                      <w:szCs w:val="21"/>
                    </w:rPr>
                  </w:pPr>
                  <w:r>
                    <w:rPr>
                      <w:sz w:val="21"/>
                      <w:szCs w:val="21"/>
                    </w:rPr>
                    <w:t>350</w:t>
                  </w:r>
                </w:p>
              </w:tc>
              <w:tc>
                <w:tcPr>
                  <w:tcW w:w="356" w:type="pct"/>
                  <w:vAlign w:val="center"/>
                </w:tcPr>
                <w:p>
                  <w:pPr>
                    <w:pStyle w:val="117"/>
                    <w:adjustRightInd w:val="0"/>
                    <w:snapToGrid w:val="0"/>
                    <w:spacing w:line="240" w:lineRule="auto"/>
                    <w:jc w:val="center"/>
                    <w:rPr>
                      <w:sz w:val="21"/>
                      <w:szCs w:val="21"/>
                    </w:rPr>
                  </w:pPr>
                  <w:r>
                    <w:rPr>
                      <w:sz w:val="21"/>
                      <w:szCs w:val="21"/>
                    </w:rPr>
                    <w:t>700</w:t>
                  </w:r>
                </w:p>
              </w:tc>
              <w:tc>
                <w:tcPr>
                  <w:tcW w:w="356" w:type="pct"/>
                  <w:vAlign w:val="center"/>
                </w:tcPr>
                <w:p>
                  <w:pPr>
                    <w:pStyle w:val="117"/>
                    <w:adjustRightInd w:val="0"/>
                    <w:snapToGrid w:val="0"/>
                    <w:spacing w:line="240" w:lineRule="auto"/>
                    <w:jc w:val="center"/>
                    <w:rPr>
                      <w:sz w:val="21"/>
                      <w:szCs w:val="21"/>
                    </w:rPr>
                  </w:pPr>
                  <w:r>
                    <w:rPr>
                      <w:sz w:val="21"/>
                      <w:szCs w:val="21"/>
                    </w:rPr>
                    <w:t>470</w:t>
                  </w:r>
                </w:p>
              </w:tc>
              <w:tc>
                <w:tcPr>
                  <w:tcW w:w="357" w:type="pct"/>
                  <w:vAlign w:val="center"/>
                </w:tcPr>
                <w:p>
                  <w:pPr>
                    <w:pStyle w:val="117"/>
                    <w:adjustRightInd w:val="0"/>
                    <w:snapToGrid w:val="0"/>
                    <w:spacing w:line="240" w:lineRule="auto"/>
                    <w:jc w:val="center"/>
                    <w:rPr>
                      <w:sz w:val="21"/>
                      <w:szCs w:val="21"/>
                    </w:rPr>
                  </w:pPr>
                  <w:r>
                    <w:rPr>
                      <w:sz w:val="21"/>
                      <w:szCs w:val="21"/>
                    </w:rPr>
                    <w:t>350</w:t>
                  </w:r>
                </w:p>
              </w:tc>
              <w:tc>
                <w:tcPr>
                  <w:tcW w:w="356" w:type="pct"/>
                  <w:vAlign w:val="center"/>
                </w:tcPr>
                <w:p>
                  <w:pPr>
                    <w:pStyle w:val="117"/>
                    <w:adjustRightInd w:val="0"/>
                    <w:snapToGrid w:val="0"/>
                    <w:spacing w:line="240" w:lineRule="auto"/>
                    <w:jc w:val="center"/>
                    <w:rPr>
                      <w:sz w:val="21"/>
                      <w:szCs w:val="21"/>
                    </w:rPr>
                  </w:pPr>
                  <w:r>
                    <w:rPr>
                      <w:sz w:val="21"/>
                      <w:szCs w:val="21"/>
                    </w:rPr>
                    <w:t>380</w:t>
                  </w:r>
                </w:p>
              </w:tc>
              <w:tc>
                <w:tcPr>
                  <w:tcW w:w="356" w:type="pct"/>
                  <w:vAlign w:val="center"/>
                </w:tcPr>
                <w:p>
                  <w:pPr>
                    <w:pStyle w:val="117"/>
                    <w:adjustRightInd w:val="0"/>
                    <w:snapToGrid w:val="0"/>
                    <w:spacing w:line="240" w:lineRule="auto"/>
                    <w:jc w:val="center"/>
                    <w:rPr>
                      <w:sz w:val="21"/>
                      <w:szCs w:val="21"/>
                    </w:rPr>
                  </w:pPr>
                  <w:r>
                    <w:rPr>
                      <w:sz w:val="21"/>
                      <w:szCs w:val="21"/>
                    </w:rPr>
                    <w:t>250</w:t>
                  </w:r>
                </w:p>
              </w:tc>
              <w:tc>
                <w:tcPr>
                  <w:tcW w:w="357" w:type="pct"/>
                  <w:vAlign w:val="center"/>
                </w:tcPr>
                <w:p>
                  <w:pPr>
                    <w:pStyle w:val="117"/>
                    <w:adjustRightInd w:val="0"/>
                    <w:snapToGrid w:val="0"/>
                    <w:spacing w:line="240" w:lineRule="auto"/>
                    <w:jc w:val="center"/>
                    <w:rPr>
                      <w:sz w:val="21"/>
                      <w:szCs w:val="21"/>
                    </w:rPr>
                  </w:pPr>
                  <w:r>
                    <w:rPr>
                      <w:sz w:val="21"/>
                      <w:szCs w:val="21"/>
                    </w:rPr>
                    <w:t>190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484" w:type="pct"/>
                  <w:vMerge w:val="continue"/>
                  <w:vAlign w:val="center"/>
                </w:tcPr>
                <w:p>
                  <w:pPr>
                    <w:pStyle w:val="117"/>
                    <w:adjustRightInd w:val="0"/>
                    <w:snapToGrid w:val="0"/>
                    <w:spacing w:line="240" w:lineRule="auto"/>
                    <w:jc w:val="center"/>
                    <w:rPr>
                      <w:sz w:val="21"/>
                      <w:szCs w:val="21"/>
                    </w:rPr>
                  </w:pPr>
                </w:p>
              </w:tc>
              <w:tc>
                <w:tcPr>
                  <w:tcW w:w="1019" w:type="pct"/>
                  <w:vAlign w:val="center"/>
                </w:tcPr>
                <w:p>
                  <w:pPr>
                    <w:pStyle w:val="117"/>
                    <w:adjustRightInd w:val="0"/>
                    <w:snapToGrid w:val="0"/>
                    <w:spacing w:line="240" w:lineRule="auto"/>
                    <w:jc w:val="center"/>
                    <w:rPr>
                      <w:sz w:val="21"/>
                      <w:szCs w:val="21"/>
                    </w:rPr>
                  </w:pPr>
                  <w:r>
                    <w:rPr>
                      <w:sz w:val="21"/>
                      <w:szCs w:val="21"/>
                    </w:rPr>
                    <w:t>&gt;4</w:t>
                  </w:r>
                </w:p>
              </w:tc>
              <w:tc>
                <w:tcPr>
                  <w:tcW w:w="446" w:type="pct"/>
                  <w:vAlign w:val="center"/>
                </w:tcPr>
                <w:p>
                  <w:pPr>
                    <w:pStyle w:val="117"/>
                    <w:adjustRightInd w:val="0"/>
                    <w:snapToGrid w:val="0"/>
                    <w:spacing w:line="240" w:lineRule="auto"/>
                    <w:jc w:val="center"/>
                    <w:rPr>
                      <w:sz w:val="21"/>
                      <w:szCs w:val="21"/>
                    </w:rPr>
                  </w:pPr>
                  <w:r>
                    <w:rPr>
                      <w:sz w:val="21"/>
                      <w:szCs w:val="21"/>
                    </w:rPr>
                    <w:t>530</w:t>
                  </w:r>
                </w:p>
              </w:tc>
              <w:tc>
                <w:tcPr>
                  <w:tcW w:w="465" w:type="pct"/>
                  <w:vAlign w:val="center"/>
                </w:tcPr>
                <w:p>
                  <w:pPr>
                    <w:pStyle w:val="117"/>
                    <w:adjustRightInd w:val="0"/>
                    <w:snapToGrid w:val="0"/>
                    <w:spacing w:line="240" w:lineRule="auto"/>
                    <w:jc w:val="center"/>
                    <w:rPr>
                      <w:sz w:val="21"/>
                      <w:szCs w:val="21"/>
                    </w:rPr>
                  </w:pPr>
                  <w:r>
                    <w:rPr>
                      <w:sz w:val="21"/>
                      <w:szCs w:val="21"/>
                    </w:rPr>
                    <w:t>350</w:t>
                  </w:r>
                </w:p>
              </w:tc>
              <w:tc>
                <w:tcPr>
                  <w:tcW w:w="448" w:type="pct"/>
                  <w:vAlign w:val="center"/>
                </w:tcPr>
                <w:p>
                  <w:pPr>
                    <w:pStyle w:val="117"/>
                    <w:adjustRightInd w:val="0"/>
                    <w:snapToGrid w:val="0"/>
                    <w:spacing w:line="240" w:lineRule="auto"/>
                    <w:jc w:val="center"/>
                    <w:rPr>
                      <w:sz w:val="21"/>
                      <w:szCs w:val="21"/>
                    </w:rPr>
                  </w:pPr>
                  <w:r>
                    <w:rPr>
                      <w:sz w:val="21"/>
                      <w:szCs w:val="21"/>
                    </w:rPr>
                    <w:t>260</w:t>
                  </w:r>
                </w:p>
              </w:tc>
              <w:tc>
                <w:tcPr>
                  <w:tcW w:w="356" w:type="pct"/>
                  <w:vAlign w:val="center"/>
                </w:tcPr>
                <w:p>
                  <w:pPr>
                    <w:pStyle w:val="117"/>
                    <w:adjustRightInd w:val="0"/>
                    <w:snapToGrid w:val="0"/>
                    <w:spacing w:line="240" w:lineRule="auto"/>
                    <w:jc w:val="center"/>
                    <w:rPr>
                      <w:sz w:val="21"/>
                      <w:szCs w:val="21"/>
                    </w:rPr>
                  </w:pPr>
                  <w:r>
                    <w:rPr>
                      <w:sz w:val="21"/>
                      <w:szCs w:val="21"/>
                    </w:rPr>
                    <w:t>530</w:t>
                  </w:r>
                </w:p>
              </w:tc>
              <w:tc>
                <w:tcPr>
                  <w:tcW w:w="356" w:type="pct"/>
                  <w:vAlign w:val="center"/>
                </w:tcPr>
                <w:p>
                  <w:pPr>
                    <w:pStyle w:val="117"/>
                    <w:adjustRightInd w:val="0"/>
                    <w:snapToGrid w:val="0"/>
                    <w:spacing w:line="240" w:lineRule="auto"/>
                    <w:jc w:val="center"/>
                    <w:rPr>
                      <w:sz w:val="21"/>
                      <w:szCs w:val="21"/>
                    </w:rPr>
                  </w:pPr>
                  <w:r>
                    <w:rPr>
                      <w:sz w:val="21"/>
                      <w:szCs w:val="21"/>
                    </w:rPr>
                    <w:t>350</w:t>
                  </w:r>
                </w:p>
              </w:tc>
              <w:tc>
                <w:tcPr>
                  <w:tcW w:w="357" w:type="pct"/>
                  <w:vAlign w:val="center"/>
                </w:tcPr>
                <w:p>
                  <w:pPr>
                    <w:pStyle w:val="117"/>
                    <w:adjustRightInd w:val="0"/>
                    <w:snapToGrid w:val="0"/>
                    <w:spacing w:line="240" w:lineRule="auto"/>
                    <w:jc w:val="center"/>
                    <w:rPr>
                      <w:sz w:val="21"/>
                      <w:szCs w:val="21"/>
                    </w:rPr>
                  </w:pPr>
                  <w:r>
                    <w:rPr>
                      <w:sz w:val="21"/>
                      <w:szCs w:val="21"/>
                    </w:rPr>
                    <w:t>260</w:t>
                  </w:r>
                </w:p>
              </w:tc>
              <w:tc>
                <w:tcPr>
                  <w:tcW w:w="356" w:type="pct"/>
                  <w:vAlign w:val="center"/>
                </w:tcPr>
                <w:p>
                  <w:pPr>
                    <w:pStyle w:val="117"/>
                    <w:adjustRightInd w:val="0"/>
                    <w:snapToGrid w:val="0"/>
                    <w:spacing w:line="240" w:lineRule="auto"/>
                    <w:jc w:val="center"/>
                    <w:rPr>
                      <w:sz w:val="21"/>
                      <w:szCs w:val="21"/>
                    </w:rPr>
                  </w:pPr>
                  <w:r>
                    <w:rPr>
                      <w:sz w:val="21"/>
                      <w:szCs w:val="21"/>
                    </w:rPr>
                    <w:t>290</w:t>
                  </w:r>
                </w:p>
              </w:tc>
              <w:tc>
                <w:tcPr>
                  <w:tcW w:w="356" w:type="pct"/>
                  <w:vAlign w:val="center"/>
                </w:tcPr>
                <w:p>
                  <w:pPr>
                    <w:pStyle w:val="117"/>
                    <w:adjustRightInd w:val="0"/>
                    <w:snapToGrid w:val="0"/>
                    <w:spacing w:line="240" w:lineRule="auto"/>
                    <w:jc w:val="center"/>
                    <w:rPr>
                      <w:sz w:val="21"/>
                      <w:szCs w:val="21"/>
                    </w:rPr>
                  </w:pPr>
                  <w:r>
                    <w:rPr>
                      <w:sz w:val="21"/>
                      <w:szCs w:val="21"/>
                    </w:rPr>
                    <w:t>190</w:t>
                  </w:r>
                </w:p>
              </w:tc>
              <w:tc>
                <w:tcPr>
                  <w:tcW w:w="357" w:type="pct"/>
                  <w:vAlign w:val="center"/>
                </w:tcPr>
                <w:p>
                  <w:pPr>
                    <w:pStyle w:val="117"/>
                    <w:adjustRightInd w:val="0"/>
                    <w:snapToGrid w:val="0"/>
                    <w:spacing w:line="240" w:lineRule="auto"/>
                    <w:jc w:val="center"/>
                    <w:rPr>
                      <w:sz w:val="21"/>
                      <w:szCs w:val="21"/>
                    </w:rPr>
                  </w:pPr>
                  <w:r>
                    <w:rPr>
                      <w:sz w:val="21"/>
                      <w:szCs w:val="21"/>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484" w:type="pct"/>
                  <w:vMerge w:val="restart"/>
                  <w:vAlign w:val="center"/>
                </w:tcPr>
                <w:p>
                  <w:pPr>
                    <w:pStyle w:val="117"/>
                    <w:adjustRightInd w:val="0"/>
                    <w:snapToGrid w:val="0"/>
                    <w:spacing w:line="240" w:lineRule="auto"/>
                    <w:jc w:val="center"/>
                    <w:rPr>
                      <w:sz w:val="21"/>
                      <w:szCs w:val="21"/>
                    </w:rPr>
                  </w:pPr>
                  <w:r>
                    <w:rPr>
                      <w:sz w:val="21"/>
                      <w:szCs w:val="21"/>
                    </w:rPr>
                    <w:t>B</w:t>
                  </w:r>
                </w:p>
              </w:tc>
              <w:tc>
                <w:tcPr>
                  <w:tcW w:w="1019" w:type="pct"/>
                  <w:vAlign w:val="center"/>
                </w:tcPr>
                <w:p>
                  <w:pPr>
                    <w:pStyle w:val="117"/>
                    <w:adjustRightInd w:val="0"/>
                    <w:snapToGrid w:val="0"/>
                    <w:spacing w:line="240" w:lineRule="auto"/>
                    <w:jc w:val="center"/>
                    <w:rPr>
                      <w:sz w:val="21"/>
                      <w:szCs w:val="21"/>
                    </w:rPr>
                  </w:pPr>
                  <w:r>
                    <w:rPr>
                      <w:sz w:val="21"/>
                      <w:szCs w:val="21"/>
                    </w:rPr>
                    <w:t>&lt;2</w:t>
                  </w:r>
                </w:p>
              </w:tc>
              <w:tc>
                <w:tcPr>
                  <w:tcW w:w="1359" w:type="pct"/>
                  <w:gridSpan w:val="3"/>
                  <w:vAlign w:val="center"/>
                </w:tcPr>
                <w:p>
                  <w:pPr>
                    <w:pStyle w:val="117"/>
                    <w:adjustRightInd w:val="0"/>
                    <w:snapToGrid w:val="0"/>
                    <w:spacing w:line="240" w:lineRule="auto"/>
                    <w:jc w:val="center"/>
                    <w:rPr>
                      <w:sz w:val="21"/>
                      <w:szCs w:val="21"/>
                    </w:rPr>
                  </w:pPr>
                  <w:r>
                    <w:rPr>
                      <w:sz w:val="21"/>
                      <w:szCs w:val="21"/>
                    </w:rPr>
                    <w:t>0.01</w:t>
                  </w:r>
                </w:p>
              </w:tc>
              <w:tc>
                <w:tcPr>
                  <w:tcW w:w="1069" w:type="pct"/>
                  <w:gridSpan w:val="3"/>
                  <w:vAlign w:val="center"/>
                </w:tcPr>
                <w:p>
                  <w:pPr>
                    <w:pStyle w:val="117"/>
                    <w:adjustRightInd w:val="0"/>
                    <w:snapToGrid w:val="0"/>
                    <w:spacing w:line="240" w:lineRule="auto"/>
                    <w:jc w:val="center"/>
                    <w:rPr>
                      <w:sz w:val="21"/>
                      <w:szCs w:val="21"/>
                    </w:rPr>
                  </w:pPr>
                  <w:r>
                    <w:rPr>
                      <w:sz w:val="21"/>
                      <w:szCs w:val="21"/>
                    </w:rPr>
                    <w:t>0.015</w:t>
                  </w:r>
                </w:p>
              </w:tc>
              <w:tc>
                <w:tcPr>
                  <w:tcW w:w="1069" w:type="pct"/>
                  <w:gridSpan w:val="3"/>
                  <w:vAlign w:val="center"/>
                </w:tcPr>
                <w:p>
                  <w:pPr>
                    <w:pStyle w:val="117"/>
                    <w:adjustRightInd w:val="0"/>
                    <w:snapToGrid w:val="0"/>
                    <w:spacing w:line="240" w:lineRule="auto"/>
                    <w:jc w:val="center"/>
                    <w:rPr>
                      <w:sz w:val="21"/>
                      <w:szCs w:val="21"/>
                    </w:rPr>
                  </w:pPr>
                  <w:r>
                    <w:rPr>
                      <w:sz w:val="21"/>
                      <w:szCs w:val="21"/>
                    </w:rPr>
                    <w:t>0.015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484" w:type="pct"/>
                  <w:vMerge w:val="continue"/>
                  <w:vAlign w:val="center"/>
                </w:tcPr>
                <w:p>
                  <w:pPr>
                    <w:pStyle w:val="117"/>
                    <w:adjustRightInd w:val="0"/>
                    <w:snapToGrid w:val="0"/>
                    <w:spacing w:line="240" w:lineRule="auto"/>
                    <w:jc w:val="center"/>
                    <w:rPr>
                      <w:sz w:val="21"/>
                      <w:szCs w:val="21"/>
                    </w:rPr>
                  </w:pPr>
                </w:p>
              </w:tc>
              <w:tc>
                <w:tcPr>
                  <w:tcW w:w="1019" w:type="pct"/>
                  <w:vAlign w:val="center"/>
                </w:tcPr>
                <w:p>
                  <w:pPr>
                    <w:pStyle w:val="117"/>
                    <w:adjustRightInd w:val="0"/>
                    <w:snapToGrid w:val="0"/>
                    <w:spacing w:line="240" w:lineRule="auto"/>
                    <w:jc w:val="center"/>
                    <w:rPr>
                      <w:sz w:val="21"/>
                      <w:szCs w:val="21"/>
                    </w:rPr>
                  </w:pPr>
                  <w:r>
                    <w:rPr>
                      <w:sz w:val="21"/>
                      <w:szCs w:val="21"/>
                    </w:rPr>
                    <w:t>&gt;2</w:t>
                  </w:r>
                </w:p>
              </w:tc>
              <w:tc>
                <w:tcPr>
                  <w:tcW w:w="1359" w:type="pct"/>
                  <w:gridSpan w:val="3"/>
                  <w:vAlign w:val="center"/>
                </w:tcPr>
                <w:p>
                  <w:pPr>
                    <w:pStyle w:val="117"/>
                    <w:adjustRightInd w:val="0"/>
                    <w:snapToGrid w:val="0"/>
                    <w:spacing w:line="240" w:lineRule="auto"/>
                    <w:jc w:val="center"/>
                    <w:rPr>
                      <w:sz w:val="21"/>
                      <w:szCs w:val="21"/>
                    </w:rPr>
                  </w:pPr>
                  <w:r>
                    <w:rPr>
                      <w:sz w:val="21"/>
                      <w:szCs w:val="21"/>
                    </w:rPr>
                    <w:t>0.021</w:t>
                  </w:r>
                </w:p>
              </w:tc>
              <w:tc>
                <w:tcPr>
                  <w:tcW w:w="1069" w:type="pct"/>
                  <w:gridSpan w:val="3"/>
                  <w:vAlign w:val="center"/>
                </w:tcPr>
                <w:p>
                  <w:pPr>
                    <w:pStyle w:val="117"/>
                    <w:adjustRightInd w:val="0"/>
                    <w:snapToGrid w:val="0"/>
                    <w:spacing w:line="240" w:lineRule="auto"/>
                    <w:jc w:val="center"/>
                    <w:rPr>
                      <w:sz w:val="21"/>
                      <w:szCs w:val="21"/>
                    </w:rPr>
                  </w:pPr>
                  <w:r>
                    <w:rPr>
                      <w:sz w:val="21"/>
                      <w:szCs w:val="21"/>
                    </w:rPr>
                    <w:t>0.036</w:t>
                  </w:r>
                </w:p>
              </w:tc>
              <w:tc>
                <w:tcPr>
                  <w:tcW w:w="1069" w:type="pct"/>
                  <w:gridSpan w:val="3"/>
                  <w:vAlign w:val="center"/>
                </w:tcPr>
                <w:p>
                  <w:pPr>
                    <w:pStyle w:val="117"/>
                    <w:adjustRightInd w:val="0"/>
                    <w:snapToGrid w:val="0"/>
                    <w:spacing w:line="240" w:lineRule="auto"/>
                    <w:jc w:val="center"/>
                    <w:rPr>
                      <w:sz w:val="21"/>
                      <w:szCs w:val="21"/>
                    </w:rPr>
                  </w:pPr>
                  <w:r>
                    <w:rPr>
                      <w:sz w:val="21"/>
                      <w:szCs w:val="21"/>
                    </w:rPr>
                    <w:t>0.036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484" w:type="pct"/>
                  <w:vMerge w:val="restart"/>
                  <w:vAlign w:val="center"/>
                </w:tcPr>
                <w:p>
                  <w:pPr>
                    <w:pStyle w:val="117"/>
                    <w:adjustRightInd w:val="0"/>
                    <w:snapToGrid w:val="0"/>
                    <w:spacing w:line="240" w:lineRule="auto"/>
                    <w:jc w:val="center"/>
                    <w:rPr>
                      <w:sz w:val="21"/>
                      <w:szCs w:val="21"/>
                    </w:rPr>
                  </w:pPr>
                  <w:r>
                    <w:rPr>
                      <w:sz w:val="21"/>
                      <w:szCs w:val="21"/>
                    </w:rPr>
                    <w:t>C</w:t>
                  </w:r>
                </w:p>
              </w:tc>
              <w:tc>
                <w:tcPr>
                  <w:tcW w:w="1019" w:type="pct"/>
                  <w:vAlign w:val="center"/>
                </w:tcPr>
                <w:p>
                  <w:pPr>
                    <w:pStyle w:val="117"/>
                    <w:adjustRightInd w:val="0"/>
                    <w:snapToGrid w:val="0"/>
                    <w:spacing w:line="240" w:lineRule="auto"/>
                    <w:jc w:val="center"/>
                    <w:rPr>
                      <w:sz w:val="21"/>
                      <w:szCs w:val="21"/>
                    </w:rPr>
                  </w:pPr>
                  <w:r>
                    <w:rPr>
                      <w:sz w:val="21"/>
                      <w:szCs w:val="21"/>
                    </w:rPr>
                    <w:t>&lt;2</w:t>
                  </w:r>
                </w:p>
              </w:tc>
              <w:tc>
                <w:tcPr>
                  <w:tcW w:w="1359" w:type="pct"/>
                  <w:gridSpan w:val="3"/>
                  <w:vAlign w:val="center"/>
                </w:tcPr>
                <w:p>
                  <w:pPr>
                    <w:pStyle w:val="117"/>
                    <w:adjustRightInd w:val="0"/>
                    <w:snapToGrid w:val="0"/>
                    <w:spacing w:line="240" w:lineRule="auto"/>
                    <w:jc w:val="center"/>
                    <w:rPr>
                      <w:sz w:val="21"/>
                      <w:szCs w:val="21"/>
                    </w:rPr>
                  </w:pPr>
                  <w:r>
                    <w:rPr>
                      <w:sz w:val="21"/>
                      <w:szCs w:val="21"/>
                    </w:rPr>
                    <w:t>1.85</w:t>
                  </w:r>
                </w:p>
              </w:tc>
              <w:tc>
                <w:tcPr>
                  <w:tcW w:w="1069" w:type="pct"/>
                  <w:gridSpan w:val="3"/>
                  <w:vAlign w:val="center"/>
                </w:tcPr>
                <w:p>
                  <w:pPr>
                    <w:pStyle w:val="117"/>
                    <w:adjustRightInd w:val="0"/>
                    <w:snapToGrid w:val="0"/>
                    <w:spacing w:line="240" w:lineRule="auto"/>
                    <w:jc w:val="center"/>
                    <w:rPr>
                      <w:sz w:val="21"/>
                      <w:szCs w:val="21"/>
                    </w:rPr>
                  </w:pPr>
                  <w:r>
                    <w:rPr>
                      <w:sz w:val="21"/>
                      <w:szCs w:val="21"/>
                    </w:rPr>
                    <w:t>1.79</w:t>
                  </w:r>
                </w:p>
              </w:tc>
              <w:tc>
                <w:tcPr>
                  <w:tcW w:w="1069" w:type="pct"/>
                  <w:gridSpan w:val="3"/>
                  <w:vAlign w:val="center"/>
                </w:tcPr>
                <w:p>
                  <w:pPr>
                    <w:pStyle w:val="117"/>
                    <w:adjustRightInd w:val="0"/>
                    <w:snapToGrid w:val="0"/>
                    <w:spacing w:line="240" w:lineRule="auto"/>
                    <w:jc w:val="center"/>
                    <w:rPr>
                      <w:sz w:val="21"/>
                      <w:szCs w:val="21"/>
                    </w:rPr>
                  </w:pPr>
                  <w:r>
                    <w:rPr>
                      <w:sz w:val="21"/>
                      <w:szCs w:val="21"/>
                    </w:rPr>
                    <w:t>1.79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484" w:type="pct"/>
                  <w:vMerge w:val="continue"/>
                  <w:vAlign w:val="center"/>
                </w:tcPr>
                <w:p>
                  <w:pPr>
                    <w:pStyle w:val="117"/>
                    <w:adjustRightInd w:val="0"/>
                    <w:snapToGrid w:val="0"/>
                    <w:spacing w:line="240" w:lineRule="auto"/>
                    <w:jc w:val="center"/>
                    <w:rPr>
                      <w:sz w:val="21"/>
                      <w:szCs w:val="21"/>
                    </w:rPr>
                  </w:pPr>
                </w:p>
              </w:tc>
              <w:tc>
                <w:tcPr>
                  <w:tcW w:w="1019" w:type="pct"/>
                  <w:vAlign w:val="center"/>
                </w:tcPr>
                <w:p>
                  <w:pPr>
                    <w:pStyle w:val="117"/>
                    <w:adjustRightInd w:val="0"/>
                    <w:snapToGrid w:val="0"/>
                    <w:spacing w:line="240" w:lineRule="auto"/>
                    <w:jc w:val="center"/>
                    <w:rPr>
                      <w:sz w:val="21"/>
                      <w:szCs w:val="21"/>
                    </w:rPr>
                  </w:pPr>
                  <w:r>
                    <w:rPr>
                      <w:sz w:val="21"/>
                      <w:szCs w:val="21"/>
                    </w:rPr>
                    <w:t>&gt;2</w:t>
                  </w:r>
                </w:p>
              </w:tc>
              <w:tc>
                <w:tcPr>
                  <w:tcW w:w="1359" w:type="pct"/>
                  <w:gridSpan w:val="3"/>
                  <w:vAlign w:val="center"/>
                </w:tcPr>
                <w:p>
                  <w:pPr>
                    <w:pStyle w:val="117"/>
                    <w:adjustRightInd w:val="0"/>
                    <w:snapToGrid w:val="0"/>
                    <w:spacing w:line="240" w:lineRule="auto"/>
                    <w:jc w:val="center"/>
                    <w:rPr>
                      <w:sz w:val="21"/>
                      <w:szCs w:val="21"/>
                    </w:rPr>
                  </w:pPr>
                  <w:r>
                    <w:rPr>
                      <w:sz w:val="21"/>
                      <w:szCs w:val="21"/>
                    </w:rPr>
                    <w:t>1.85</w:t>
                  </w:r>
                </w:p>
              </w:tc>
              <w:tc>
                <w:tcPr>
                  <w:tcW w:w="1069" w:type="pct"/>
                  <w:gridSpan w:val="3"/>
                  <w:vAlign w:val="center"/>
                </w:tcPr>
                <w:p>
                  <w:pPr>
                    <w:pStyle w:val="117"/>
                    <w:adjustRightInd w:val="0"/>
                    <w:snapToGrid w:val="0"/>
                    <w:spacing w:line="240" w:lineRule="auto"/>
                    <w:jc w:val="center"/>
                    <w:rPr>
                      <w:sz w:val="21"/>
                      <w:szCs w:val="21"/>
                    </w:rPr>
                  </w:pPr>
                  <w:r>
                    <w:rPr>
                      <w:sz w:val="21"/>
                      <w:szCs w:val="21"/>
                    </w:rPr>
                    <w:t>1.77</w:t>
                  </w:r>
                </w:p>
              </w:tc>
              <w:tc>
                <w:tcPr>
                  <w:tcW w:w="1069" w:type="pct"/>
                  <w:gridSpan w:val="3"/>
                  <w:vAlign w:val="center"/>
                </w:tcPr>
                <w:p>
                  <w:pPr>
                    <w:pStyle w:val="117"/>
                    <w:adjustRightInd w:val="0"/>
                    <w:snapToGrid w:val="0"/>
                    <w:spacing w:line="240" w:lineRule="auto"/>
                    <w:jc w:val="center"/>
                    <w:rPr>
                      <w:sz w:val="21"/>
                      <w:szCs w:val="21"/>
                    </w:rPr>
                  </w:pPr>
                  <w:r>
                    <w:rPr>
                      <w:sz w:val="21"/>
                      <w:szCs w:val="21"/>
                    </w:rPr>
                    <w:t>1.77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484" w:type="pct"/>
                  <w:vMerge w:val="restart"/>
                  <w:vAlign w:val="center"/>
                </w:tcPr>
                <w:p>
                  <w:pPr>
                    <w:pStyle w:val="117"/>
                    <w:adjustRightInd w:val="0"/>
                    <w:snapToGrid w:val="0"/>
                    <w:spacing w:line="240" w:lineRule="auto"/>
                    <w:jc w:val="center"/>
                    <w:rPr>
                      <w:sz w:val="21"/>
                      <w:szCs w:val="21"/>
                    </w:rPr>
                  </w:pPr>
                  <w:r>
                    <w:rPr>
                      <w:sz w:val="21"/>
                      <w:szCs w:val="21"/>
                    </w:rPr>
                    <w:t>D</w:t>
                  </w:r>
                </w:p>
              </w:tc>
              <w:tc>
                <w:tcPr>
                  <w:tcW w:w="1019" w:type="pct"/>
                  <w:vAlign w:val="center"/>
                </w:tcPr>
                <w:p>
                  <w:pPr>
                    <w:pStyle w:val="117"/>
                    <w:adjustRightInd w:val="0"/>
                    <w:snapToGrid w:val="0"/>
                    <w:spacing w:line="240" w:lineRule="auto"/>
                    <w:jc w:val="center"/>
                    <w:rPr>
                      <w:sz w:val="21"/>
                      <w:szCs w:val="21"/>
                    </w:rPr>
                  </w:pPr>
                  <w:r>
                    <w:rPr>
                      <w:sz w:val="21"/>
                      <w:szCs w:val="21"/>
                    </w:rPr>
                    <w:t>&lt;2</w:t>
                  </w:r>
                </w:p>
              </w:tc>
              <w:tc>
                <w:tcPr>
                  <w:tcW w:w="1359" w:type="pct"/>
                  <w:gridSpan w:val="3"/>
                  <w:vAlign w:val="center"/>
                </w:tcPr>
                <w:p>
                  <w:pPr>
                    <w:pStyle w:val="117"/>
                    <w:adjustRightInd w:val="0"/>
                    <w:snapToGrid w:val="0"/>
                    <w:spacing w:line="240" w:lineRule="auto"/>
                    <w:jc w:val="center"/>
                    <w:rPr>
                      <w:sz w:val="21"/>
                      <w:szCs w:val="21"/>
                    </w:rPr>
                  </w:pPr>
                  <w:r>
                    <w:rPr>
                      <w:sz w:val="21"/>
                      <w:szCs w:val="21"/>
                    </w:rPr>
                    <w:t>0.78</w:t>
                  </w:r>
                </w:p>
              </w:tc>
              <w:tc>
                <w:tcPr>
                  <w:tcW w:w="1069" w:type="pct"/>
                  <w:gridSpan w:val="3"/>
                  <w:vAlign w:val="center"/>
                </w:tcPr>
                <w:p>
                  <w:pPr>
                    <w:pStyle w:val="117"/>
                    <w:adjustRightInd w:val="0"/>
                    <w:snapToGrid w:val="0"/>
                    <w:spacing w:line="240" w:lineRule="auto"/>
                    <w:jc w:val="center"/>
                    <w:rPr>
                      <w:sz w:val="21"/>
                      <w:szCs w:val="21"/>
                    </w:rPr>
                  </w:pPr>
                  <w:r>
                    <w:rPr>
                      <w:sz w:val="21"/>
                      <w:szCs w:val="21"/>
                    </w:rPr>
                    <w:t>0.78</w:t>
                  </w:r>
                </w:p>
              </w:tc>
              <w:tc>
                <w:tcPr>
                  <w:tcW w:w="1069" w:type="pct"/>
                  <w:gridSpan w:val="3"/>
                  <w:vAlign w:val="center"/>
                </w:tcPr>
                <w:p>
                  <w:pPr>
                    <w:pStyle w:val="117"/>
                    <w:adjustRightInd w:val="0"/>
                    <w:snapToGrid w:val="0"/>
                    <w:spacing w:line="240" w:lineRule="auto"/>
                    <w:jc w:val="center"/>
                    <w:rPr>
                      <w:sz w:val="21"/>
                      <w:szCs w:val="21"/>
                    </w:rPr>
                  </w:pPr>
                  <w:r>
                    <w:rPr>
                      <w:sz w:val="21"/>
                      <w:szCs w:val="21"/>
                    </w:rPr>
                    <w:t>0.57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484" w:type="pct"/>
                  <w:vMerge w:val="continue"/>
                  <w:vAlign w:val="center"/>
                </w:tcPr>
                <w:p>
                  <w:pPr>
                    <w:pStyle w:val="117"/>
                    <w:adjustRightInd w:val="0"/>
                    <w:snapToGrid w:val="0"/>
                    <w:spacing w:line="240" w:lineRule="auto"/>
                    <w:jc w:val="center"/>
                    <w:rPr>
                      <w:sz w:val="21"/>
                      <w:szCs w:val="21"/>
                    </w:rPr>
                  </w:pPr>
                </w:p>
              </w:tc>
              <w:tc>
                <w:tcPr>
                  <w:tcW w:w="1019" w:type="pct"/>
                  <w:vAlign w:val="center"/>
                </w:tcPr>
                <w:p>
                  <w:pPr>
                    <w:pStyle w:val="117"/>
                    <w:adjustRightInd w:val="0"/>
                    <w:snapToGrid w:val="0"/>
                    <w:spacing w:line="240" w:lineRule="auto"/>
                    <w:jc w:val="center"/>
                    <w:rPr>
                      <w:sz w:val="21"/>
                      <w:szCs w:val="21"/>
                    </w:rPr>
                  </w:pPr>
                  <w:r>
                    <w:rPr>
                      <w:sz w:val="21"/>
                      <w:szCs w:val="21"/>
                    </w:rPr>
                    <w:t>&gt;2</w:t>
                  </w:r>
                </w:p>
              </w:tc>
              <w:tc>
                <w:tcPr>
                  <w:tcW w:w="1359" w:type="pct"/>
                  <w:gridSpan w:val="3"/>
                  <w:vAlign w:val="center"/>
                </w:tcPr>
                <w:p>
                  <w:pPr>
                    <w:pStyle w:val="117"/>
                    <w:adjustRightInd w:val="0"/>
                    <w:snapToGrid w:val="0"/>
                    <w:spacing w:line="240" w:lineRule="auto"/>
                    <w:jc w:val="center"/>
                    <w:rPr>
                      <w:sz w:val="21"/>
                      <w:szCs w:val="21"/>
                    </w:rPr>
                  </w:pPr>
                  <w:r>
                    <w:rPr>
                      <w:sz w:val="21"/>
                      <w:szCs w:val="21"/>
                    </w:rPr>
                    <w:t>0.84</w:t>
                  </w:r>
                </w:p>
              </w:tc>
              <w:tc>
                <w:tcPr>
                  <w:tcW w:w="1069" w:type="pct"/>
                  <w:gridSpan w:val="3"/>
                  <w:vAlign w:val="center"/>
                </w:tcPr>
                <w:p>
                  <w:pPr>
                    <w:pStyle w:val="117"/>
                    <w:adjustRightInd w:val="0"/>
                    <w:snapToGrid w:val="0"/>
                    <w:spacing w:line="240" w:lineRule="auto"/>
                    <w:jc w:val="center"/>
                    <w:rPr>
                      <w:sz w:val="21"/>
                      <w:szCs w:val="21"/>
                    </w:rPr>
                  </w:pPr>
                  <w:r>
                    <w:rPr>
                      <w:sz w:val="21"/>
                      <w:szCs w:val="21"/>
                    </w:rPr>
                    <w:t>0.84</w:t>
                  </w:r>
                </w:p>
              </w:tc>
              <w:tc>
                <w:tcPr>
                  <w:tcW w:w="1069" w:type="pct"/>
                  <w:gridSpan w:val="3"/>
                  <w:vAlign w:val="center"/>
                </w:tcPr>
                <w:p>
                  <w:pPr>
                    <w:pStyle w:val="117"/>
                    <w:adjustRightInd w:val="0"/>
                    <w:snapToGrid w:val="0"/>
                    <w:spacing w:line="240" w:lineRule="auto"/>
                    <w:jc w:val="center"/>
                    <w:rPr>
                      <w:sz w:val="21"/>
                      <w:szCs w:val="21"/>
                    </w:rPr>
                  </w:pPr>
                  <w:r>
                    <w:rPr>
                      <w:sz w:val="21"/>
                      <w:szCs w:val="21"/>
                    </w:rPr>
                    <w:t>0.76</w:t>
                  </w:r>
                </w:p>
              </w:tc>
            </w:tr>
          </w:tbl>
          <w:p>
            <w:pPr>
              <w:spacing w:beforeLines="50" w:line="360" w:lineRule="auto"/>
              <w:ind w:firstLine="480" w:firstLineChars="200"/>
              <w:rPr>
                <w:rFonts w:ascii="宋体" w:hAnsi="宋体"/>
                <w:sz w:val="24"/>
              </w:rPr>
            </w:pPr>
            <w:r>
              <w:rPr>
                <w:sz w:val="24"/>
              </w:rPr>
              <w:t>计算卫生防护距离公式如下</w:t>
            </w:r>
            <w:r>
              <w:rPr>
                <w:rFonts w:ascii="宋体" w:hAnsi="宋体"/>
                <w:sz w:val="24"/>
              </w:rPr>
              <w:t>：</w:t>
            </w:r>
          </w:p>
          <w:p>
            <w:pPr>
              <w:spacing w:line="360" w:lineRule="auto"/>
              <w:ind w:firstLine="420" w:firstLineChars="200"/>
              <w:jc w:val="center"/>
              <w:rPr>
                <w:sz w:val="24"/>
              </w:rPr>
            </w:pPr>
            <w:r>
              <w:rPr>
                <w:position w:val="-30"/>
              </w:rPr>
              <w:object>
                <v:shape id="_x0000_i1025" o:spt="75" type="#_x0000_t75" style="height:39pt;width:16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p>
          <w:p>
            <w:pPr>
              <w:spacing w:line="360" w:lineRule="auto"/>
              <w:ind w:firstLine="480" w:firstLineChars="200"/>
              <w:rPr>
                <w:sz w:val="24"/>
              </w:rPr>
            </w:pPr>
            <w:r>
              <w:rPr>
                <w:sz w:val="24"/>
              </w:rPr>
              <w:t>式中：C</w:t>
            </w:r>
            <w:r>
              <w:rPr>
                <w:sz w:val="24"/>
                <w:vertAlign w:val="subscript"/>
              </w:rPr>
              <w:t>m</w:t>
            </w:r>
            <w:r>
              <w:rPr>
                <w:sz w:val="24"/>
              </w:rPr>
              <w:t>——标准浓度限值；</w:t>
            </w:r>
            <w:bookmarkStart w:id="0" w:name="_Toc144283380"/>
          </w:p>
          <w:p>
            <w:pPr>
              <w:spacing w:line="360" w:lineRule="auto"/>
              <w:ind w:left="478" w:leftChars="228" w:firstLine="741" w:firstLineChars="309"/>
              <w:rPr>
                <w:sz w:val="24"/>
              </w:rPr>
            </w:pPr>
            <w:bookmarkStart w:id="1" w:name="_Toc178006057"/>
            <w:bookmarkStart w:id="2" w:name="_Toc145316834"/>
            <w:bookmarkStart w:id="3" w:name="_Toc145834621"/>
            <w:r>
              <w:rPr>
                <w:sz w:val="24"/>
              </w:rPr>
              <w:t>L——工业企业所需卫生防护距离，m；</w:t>
            </w:r>
            <w:bookmarkEnd w:id="0"/>
            <w:bookmarkEnd w:id="1"/>
            <w:bookmarkEnd w:id="2"/>
            <w:bookmarkEnd w:id="3"/>
          </w:p>
          <w:p>
            <w:pPr>
              <w:spacing w:line="360" w:lineRule="auto"/>
              <w:ind w:left="478" w:leftChars="228" w:firstLine="741" w:firstLineChars="309"/>
              <w:rPr>
                <w:sz w:val="24"/>
              </w:rPr>
            </w:pPr>
            <w:r>
              <w:rPr>
                <w:sz w:val="24"/>
              </w:rPr>
              <w:t>R——有害气体无组织排放源所在生产单元的等效半径，m，根据该生产单元面积S（m</w:t>
            </w:r>
            <w:r>
              <w:rPr>
                <w:sz w:val="24"/>
                <w:vertAlign w:val="superscript"/>
              </w:rPr>
              <w:t>2</w:t>
            </w:r>
            <w:r>
              <w:rPr>
                <w:sz w:val="24"/>
              </w:rPr>
              <w:t>）计算，r=（S/π）</w:t>
            </w:r>
            <w:r>
              <w:rPr>
                <w:sz w:val="24"/>
                <w:vertAlign w:val="superscript"/>
              </w:rPr>
              <w:t>0.5</w:t>
            </w:r>
            <w:r>
              <w:rPr>
                <w:sz w:val="24"/>
              </w:rPr>
              <w:t>；</w:t>
            </w:r>
            <w:bookmarkStart w:id="4" w:name="_Toc144283381"/>
          </w:p>
          <w:p>
            <w:pPr>
              <w:spacing w:line="360" w:lineRule="auto"/>
              <w:ind w:firstLine="1200" w:firstLineChars="500"/>
              <w:rPr>
                <w:sz w:val="24"/>
              </w:rPr>
            </w:pPr>
            <w:bookmarkStart w:id="5" w:name="_Toc145834622"/>
            <w:bookmarkStart w:id="6" w:name="_Toc178006058"/>
            <w:bookmarkStart w:id="7" w:name="_Toc145316835"/>
            <w:r>
              <w:rPr>
                <w:sz w:val="24"/>
              </w:rPr>
              <w:t>A、B、C、D—卫生防护距离计算系数；</w:t>
            </w:r>
            <w:bookmarkEnd w:id="4"/>
            <w:bookmarkEnd w:id="5"/>
            <w:bookmarkEnd w:id="6"/>
            <w:bookmarkEnd w:id="7"/>
          </w:p>
          <w:p>
            <w:pPr>
              <w:spacing w:line="360" w:lineRule="auto"/>
              <w:ind w:firstLine="1197" w:firstLineChars="499"/>
              <w:rPr>
                <w:sz w:val="24"/>
              </w:rPr>
            </w:pPr>
            <w:r>
              <w:rPr>
                <w:sz w:val="24"/>
              </w:rPr>
              <w:t>Q</w:t>
            </w:r>
            <w:r>
              <w:rPr>
                <w:sz w:val="24"/>
                <w:vertAlign w:val="subscript"/>
              </w:rPr>
              <w:t>c</w:t>
            </w:r>
            <w:r>
              <w:rPr>
                <w:sz w:val="24"/>
              </w:rPr>
              <w:t>——工业企业有害气体无组织排放量可达到的控制水平，kg/h；</w:t>
            </w:r>
          </w:p>
          <w:p>
            <w:pPr>
              <w:spacing w:line="360" w:lineRule="auto"/>
              <w:ind w:firstLine="1197" w:firstLineChars="499"/>
              <w:rPr>
                <w:sz w:val="24"/>
              </w:rPr>
            </w:pPr>
            <w:r>
              <w:rPr>
                <w:sz w:val="24"/>
              </w:rPr>
              <w:t>当地常年平均风速为3.</w:t>
            </w:r>
            <w:r>
              <w:rPr>
                <w:rFonts w:hint="eastAsia"/>
                <w:sz w:val="24"/>
              </w:rPr>
              <w:t>7/</w:t>
            </w:r>
            <w:r>
              <w:rPr>
                <w:sz w:val="24"/>
              </w:rPr>
              <w:t>m/s。</w:t>
            </w:r>
          </w:p>
          <w:p>
            <w:pPr>
              <w:pStyle w:val="117"/>
              <w:ind w:firstLine="480" w:firstLineChars="200"/>
            </w:pPr>
            <w:r>
              <w:t>卫生防护距离计算结果见表</w:t>
            </w:r>
            <w:r>
              <w:rPr>
                <w:rFonts w:hint="eastAsia"/>
              </w:rPr>
              <w:t>7-12</w:t>
            </w:r>
            <w:r>
              <w:t>。</w:t>
            </w:r>
          </w:p>
          <w:p>
            <w:pPr>
              <w:pStyle w:val="117"/>
              <w:spacing w:line="240" w:lineRule="auto"/>
              <w:jc w:val="center"/>
              <w:rPr>
                <w:b/>
              </w:rPr>
            </w:pPr>
            <w:r>
              <w:rPr>
                <w:b/>
              </w:rPr>
              <w:t>表</w:t>
            </w:r>
            <w:r>
              <w:rPr>
                <w:rFonts w:hint="eastAsia"/>
                <w:b/>
              </w:rPr>
              <w:t xml:space="preserve">7-12  </w:t>
            </w:r>
            <w:r>
              <w:rPr>
                <w:b/>
              </w:rPr>
              <w:t>卫生防护距离计算结果表</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1282"/>
              <w:gridCol w:w="1077"/>
              <w:gridCol w:w="1077"/>
              <w:gridCol w:w="2014"/>
              <w:gridCol w:w="2756"/>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781" w:type="pct"/>
                  <w:vAlign w:val="center"/>
                </w:tcPr>
                <w:p>
                  <w:pPr>
                    <w:pStyle w:val="47"/>
                    <w:spacing w:line="240" w:lineRule="auto"/>
                    <w:rPr>
                      <w:rFonts w:ascii="Times New Roman" w:hAnsi="Times New Roman" w:eastAsia="宋体"/>
                      <w:b/>
                      <w:sz w:val="21"/>
                    </w:rPr>
                  </w:pPr>
                  <w:r>
                    <w:rPr>
                      <w:rFonts w:ascii="Times New Roman" w:hAnsi="Times New Roman" w:eastAsia="宋体"/>
                      <w:b/>
                      <w:sz w:val="21"/>
                    </w:rPr>
                    <w:t>无组织排放源</w:t>
                  </w:r>
                </w:p>
              </w:tc>
              <w:tc>
                <w:tcPr>
                  <w:tcW w:w="656" w:type="pct"/>
                  <w:vAlign w:val="center"/>
                </w:tcPr>
                <w:p>
                  <w:pPr>
                    <w:pStyle w:val="47"/>
                    <w:spacing w:line="240" w:lineRule="auto"/>
                    <w:rPr>
                      <w:rFonts w:ascii="Times New Roman" w:hAnsi="Times New Roman" w:eastAsia="宋体"/>
                      <w:b/>
                      <w:sz w:val="21"/>
                    </w:rPr>
                  </w:pPr>
                  <w:r>
                    <w:rPr>
                      <w:rFonts w:ascii="Times New Roman" w:hAnsi="Times New Roman" w:eastAsia="宋体"/>
                      <w:b/>
                      <w:sz w:val="21"/>
                    </w:rPr>
                    <w:t>污染物名称</w:t>
                  </w:r>
                </w:p>
              </w:tc>
              <w:tc>
                <w:tcPr>
                  <w:tcW w:w="656" w:type="pct"/>
                  <w:vAlign w:val="center"/>
                </w:tcPr>
                <w:p>
                  <w:pPr>
                    <w:pStyle w:val="47"/>
                    <w:spacing w:line="240" w:lineRule="auto"/>
                    <w:rPr>
                      <w:rFonts w:ascii="Times New Roman" w:hAnsi="Times New Roman" w:eastAsia="宋体"/>
                      <w:b/>
                      <w:sz w:val="21"/>
                    </w:rPr>
                  </w:pPr>
                  <w:r>
                    <w:rPr>
                      <w:rFonts w:ascii="Times New Roman" w:hAnsi="Times New Roman" w:eastAsia="宋体"/>
                      <w:b/>
                      <w:sz w:val="21"/>
                    </w:rPr>
                    <w:t>排放速率</w:t>
                  </w:r>
                  <w:r>
                    <w:rPr>
                      <w:rFonts w:hint="eastAsia" w:ascii="Times New Roman" w:hAnsi="Times New Roman" w:eastAsia="宋体"/>
                      <w:b/>
                      <w:sz w:val="21"/>
                    </w:rPr>
                    <w:t>（</w:t>
                  </w:r>
                  <w:r>
                    <w:rPr>
                      <w:rFonts w:ascii="Times New Roman" w:hAnsi="Times New Roman" w:eastAsia="宋体"/>
                      <w:b/>
                      <w:sz w:val="21"/>
                    </w:rPr>
                    <w:t>kg/h</w:t>
                  </w:r>
                  <w:r>
                    <w:rPr>
                      <w:rFonts w:hint="eastAsia" w:ascii="Times New Roman" w:hAnsi="Times New Roman" w:eastAsia="宋体"/>
                      <w:b/>
                      <w:sz w:val="21"/>
                    </w:rPr>
                    <w:t>）</w:t>
                  </w:r>
                </w:p>
              </w:tc>
              <w:tc>
                <w:tcPr>
                  <w:tcW w:w="1227" w:type="pct"/>
                  <w:vAlign w:val="center"/>
                </w:tcPr>
                <w:p>
                  <w:pPr>
                    <w:adjustRightInd w:val="0"/>
                    <w:snapToGrid w:val="0"/>
                    <w:jc w:val="center"/>
                    <w:rPr>
                      <w:b/>
                    </w:rPr>
                  </w:pPr>
                  <w:r>
                    <w:rPr>
                      <w:b/>
                    </w:rPr>
                    <w:t>卫生防护距离计算值（m）</w:t>
                  </w:r>
                </w:p>
              </w:tc>
              <w:tc>
                <w:tcPr>
                  <w:tcW w:w="1679" w:type="pct"/>
                  <w:vAlign w:val="center"/>
                </w:tcPr>
                <w:p>
                  <w:pPr>
                    <w:adjustRightInd w:val="0"/>
                    <w:snapToGrid w:val="0"/>
                    <w:jc w:val="center"/>
                    <w:rPr>
                      <w:b/>
                    </w:rPr>
                  </w:pPr>
                  <w:r>
                    <w:rPr>
                      <w:b/>
                    </w:rPr>
                    <w:t>根据卫生防护距离选取原则最终确定卫生防护距离（m）</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781" w:type="pct"/>
                  <w:vAlign w:val="center"/>
                </w:tcPr>
                <w:p>
                  <w:pPr>
                    <w:tabs>
                      <w:tab w:val="left" w:pos="7332"/>
                    </w:tabs>
                    <w:adjustRightInd w:val="0"/>
                    <w:snapToGrid w:val="0"/>
                    <w:jc w:val="center"/>
                    <w:rPr>
                      <w:rFonts w:hint="eastAsia" w:eastAsia="宋体"/>
                      <w:lang w:eastAsia="zh-CN"/>
                    </w:rPr>
                  </w:pPr>
                  <w:r>
                    <w:rPr>
                      <w:rFonts w:hint="eastAsia"/>
                      <w:lang w:eastAsia="zh-CN"/>
                    </w:rPr>
                    <w:t>工作车间</w:t>
                  </w:r>
                </w:p>
              </w:tc>
              <w:tc>
                <w:tcPr>
                  <w:tcW w:w="656" w:type="pct"/>
                  <w:vAlign w:val="center"/>
                </w:tcPr>
                <w:p>
                  <w:pPr>
                    <w:tabs>
                      <w:tab w:val="left" w:pos="7332"/>
                    </w:tabs>
                    <w:adjustRightInd w:val="0"/>
                    <w:snapToGrid w:val="0"/>
                    <w:jc w:val="center"/>
                    <w:rPr>
                      <w:rFonts w:hint="eastAsia" w:eastAsia="宋体"/>
                      <w:lang w:eastAsia="zh-CN"/>
                    </w:rPr>
                  </w:pPr>
                  <w:r>
                    <w:rPr>
                      <w:rFonts w:hint="eastAsia"/>
                      <w:lang w:eastAsia="zh-CN"/>
                    </w:rPr>
                    <w:t>粉尘</w:t>
                  </w:r>
                </w:p>
              </w:tc>
              <w:tc>
                <w:tcPr>
                  <w:tcW w:w="656" w:type="pct"/>
                  <w:vAlign w:val="center"/>
                </w:tcPr>
                <w:p>
                  <w:pPr>
                    <w:adjustRightInd w:val="0"/>
                    <w:snapToGrid w:val="0"/>
                    <w:jc w:val="center"/>
                    <w:rPr>
                      <w:rFonts w:hint="default" w:eastAsia="宋体"/>
                      <w:lang w:val="en-US" w:eastAsia="zh-CN"/>
                    </w:rPr>
                  </w:pPr>
                  <w:r>
                    <w:rPr>
                      <w:rFonts w:hint="eastAsia"/>
                      <w:lang w:val="en-US" w:eastAsia="zh-CN"/>
                    </w:rPr>
                    <w:t>0.147</w:t>
                  </w:r>
                </w:p>
              </w:tc>
              <w:tc>
                <w:tcPr>
                  <w:tcW w:w="1227" w:type="pct"/>
                  <w:vAlign w:val="center"/>
                </w:tcPr>
                <w:p>
                  <w:pPr>
                    <w:pStyle w:val="47"/>
                    <w:spacing w:line="240" w:lineRule="auto"/>
                    <w:rPr>
                      <w:rFonts w:hint="default" w:ascii="Times New Roman" w:hAnsi="Times New Roman" w:eastAsia="宋体"/>
                      <w:bCs/>
                      <w:sz w:val="21"/>
                      <w:lang w:val="en-US" w:eastAsia="zh-CN"/>
                    </w:rPr>
                  </w:pPr>
                  <w:r>
                    <w:rPr>
                      <w:rFonts w:hint="eastAsia" w:ascii="Times New Roman" w:hAnsi="Times New Roman" w:eastAsia="宋体"/>
                      <w:bCs/>
                      <w:sz w:val="21"/>
                      <w:lang w:val="en-US" w:eastAsia="zh-CN"/>
                    </w:rPr>
                    <w:t>11.282</w:t>
                  </w:r>
                </w:p>
              </w:tc>
              <w:tc>
                <w:tcPr>
                  <w:tcW w:w="1679" w:type="pct"/>
                  <w:vAlign w:val="center"/>
                </w:tcPr>
                <w:p>
                  <w:pPr>
                    <w:pStyle w:val="47"/>
                    <w:spacing w:line="240" w:lineRule="auto"/>
                    <w:rPr>
                      <w:rFonts w:hint="default" w:ascii="Times New Roman" w:hAnsi="Times New Roman" w:eastAsia="宋体"/>
                      <w:bCs/>
                      <w:sz w:val="21"/>
                      <w:lang w:val="en-US" w:eastAsia="zh-CN"/>
                    </w:rPr>
                  </w:pPr>
                  <w:r>
                    <w:rPr>
                      <w:rFonts w:hint="eastAsia" w:ascii="Times New Roman" w:hAnsi="Times New Roman" w:eastAsia="宋体"/>
                      <w:bCs/>
                      <w:sz w:val="21"/>
                      <w:lang w:val="en-US" w:eastAsia="zh-CN"/>
                    </w:rPr>
                    <w:t>50</w:t>
                  </w:r>
                </w:p>
              </w:tc>
            </w:tr>
          </w:tbl>
          <w:p>
            <w:pPr>
              <w:adjustRightInd w:val="0"/>
              <w:snapToGrid w:val="0"/>
              <w:spacing w:line="360" w:lineRule="auto"/>
              <w:ind w:firstLine="480" w:firstLineChars="200"/>
              <w:rPr>
                <w:rFonts w:hint="eastAsia"/>
                <w:sz w:val="24"/>
                <w:szCs w:val="24"/>
              </w:rPr>
            </w:pPr>
            <w:r>
              <w:rPr>
                <w:rFonts w:hint="eastAsia"/>
                <w:sz w:val="24"/>
                <w:szCs w:val="24"/>
              </w:rPr>
              <w:t>无组织排放多种有害气体时，按Qc/Cm的最大值计算其所需的卫生防护距离。卫生防护距离在100</w:t>
            </w:r>
            <w:r>
              <w:rPr>
                <w:rFonts w:hint="eastAsia"/>
                <w:sz w:val="24"/>
                <w:szCs w:val="24"/>
                <w:lang w:val="en-US" w:eastAsia="zh-CN"/>
              </w:rPr>
              <w:t xml:space="preserve"> </w:t>
            </w:r>
            <w:r>
              <w:rPr>
                <w:rFonts w:hint="eastAsia"/>
                <w:sz w:val="24"/>
                <w:szCs w:val="24"/>
              </w:rPr>
              <w:t>m内时，级差为50</w:t>
            </w:r>
            <w:r>
              <w:rPr>
                <w:rFonts w:hint="eastAsia"/>
                <w:sz w:val="24"/>
                <w:szCs w:val="24"/>
                <w:lang w:val="en-US" w:eastAsia="zh-CN"/>
              </w:rPr>
              <w:t xml:space="preserve"> </w:t>
            </w:r>
            <w:r>
              <w:rPr>
                <w:rFonts w:hint="eastAsia"/>
                <w:sz w:val="24"/>
                <w:szCs w:val="24"/>
              </w:rPr>
              <w:t>m；超过100</w:t>
            </w:r>
            <w:r>
              <w:rPr>
                <w:rFonts w:hint="eastAsia"/>
                <w:sz w:val="24"/>
                <w:szCs w:val="24"/>
                <w:lang w:val="en-US" w:eastAsia="zh-CN"/>
              </w:rPr>
              <w:t xml:space="preserve"> </w:t>
            </w:r>
            <w:r>
              <w:rPr>
                <w:rFonts w:hint="eastAsia"/>
                <w:sz w:val="24"/>
                <w:szCs w:val="24"/>
              </w:rPr>
              <w:t>m，但小于1000</w:t>
            </w:r>
            <w:r>
              <w:rPr>
                <w:rFonts w:hint="eastAsia"/>
                <w:sz w:val="24"/>
                <w:szCs w:val="24"/>
                <w:lang w:val="en-US" w:eastAsia="zh-CN"/>
              </w:rPr>
              <w:t xml:space="preserve"> </w:t>
            </w:r>
            <w:r>
              <w:rPr>
                <w:rFonts w:hint="eastAsia"/>
                <w:sz w:val="24"/>
                <w:szCs w:val="24"/>
              </w:rPr>
              <w:t>m时，级差为100</w:t>
            </w:r>
            <w:r>
              <w:rPr>
                <w:rFonts w:hint="eastAsia"/>
                <w:sz w:val="24"/>
                <w:szCs w:val="24"/>
                <w:lang w:val="en-US" w:eastAsia="zh-CN"/>
              </w:rPr>
              <w:t xml:space="preserve"> </w:t>
            </w:r>
            <w:r>
              <w:rPr>
                <w:rFonts w:hint="eastAsia"/>
                <w:sz w:val="24"/>
                <w:szCs w:val="24"/>
              </w:rPr>
              <w:t>m。当按两种或两种以上有害气体的Qc/Cm计算卫生防护距离在同一级别时，该类工业企业的卫生防护距离提高一级</w:t>
            </w:r>
            <w:r>
              <w:rPr>
                <w:rFonts w:hint="eastAsia"/>
                <w:sz w:val="24"/>
                <w:szCs w:val="24"/>
                <w:lang w:eastAsia="zh-CN"/>
              </w:rPr>
              <w:t>。</w:t>
            </w:r>
            <w:r>
              <w:rPr>
                <w:rFonts w:hint="eastAsia"/>
                <w:sz w:val="24"/>
                <w:szCs w:val="24"/>
              </w:rPr>
              <w:t>根据卫生防护距离计算结果，确定</w:t>
            </w:r>
            <w:r>
              <w:rPr>
                <w:rFonts w:hint="eastAsia"/>
                <w:sz w:val="24"/>
                <w:szCs w:val="24"/>
                <w:lang w:eastAsia="zh-CN"/>
              </w:rPr>
              <w:t>本项目的卫生防护距离</w:t>
            </w:r>
            <w:r>
              <w:rPr>
                <w:rFonts w:hint="eastAsia"/>
                <w:sz w:val="24"/>
                <w:szCs w:val="24"/>
              </w:rPr>
              <w:t>为：</w:t>
            </w:r>
            <w:r>
              <w:rPr>
                <w:rFonts w:hint="eastAsia"/>
                <w:sz w:val="24"/>
                <w:szCs w:val="24"/>
                <w:lang w:eastAsia="zh-CN"/>
              </w:rPr>
              <w:t>工作车间车间</w:t>
            </w:r>
            <w:r>
              <w:rPr>
                <w:rFonts w:hint="eastAsia"/>
                <w:sz w:val="24"/>
                <w:szCs w:val="24"/>
              </w:rPr>
              <w:t>外</w:t>
            </w:r>
            <w:r>
              <w:rPr>
                <w:rFonts w:hint="eastAsia"/>
                <w:sz w:val="24"/>
                <w:szCs w:val="24"/>
                <w:lang w:val="en-US" w:eastAsia="zh-CN"/>
              </w:rPr>
              <w:t xml:space="preserve">50 </w:t>
            </w:r>
            <w:r>
              <w:rPr>
                <w:rFonts w:hint="eastAsia"/>
                <w:sz w:val="24"/>
                <w:szCs w:val="24"/>
              </w:rPr>
              <w:t>m范围</w:t>
            </w:r>
            <w:r>
              <w:rPr>
                <w:rFonts w:hint="eastAsia"/>
                <w:sz w:val="24"/>
                <w:szCs w:val="24"/>
                <w:lang w:eastAsia="zh-CN"/>
              </w:rPr>
              <w:t>。经调查，</w:t>
            </w:r>
            <w:r>
              <w:rPr>
                <w:rFonts w:hint="eastAsia"/>
                <w:sz w:val="24"/>
                <w:szCs w:val="24"/>
              </w:rPr>
              <w:t>环境防护距离范围</w:t>
            </w:r>
            <w:r>
              <w:rPr>
                <w:rFonts w:hint="eastAsia"/>
                <w:sz w:val="24"/>
                <w:szCs w:val="24"/>
                <w:lang w:eastAsia="zh-CN"/>
              </w:rPr>
              <w:t>内有</w:t>
            </w:r>
            <w:r>
              <w:rPr>
                <w:rFonts w:hint="eastAsia"/>
                <w:sz w:val="24"/>
                <w:szCs w:val="24"/>
              </w:rPr>
              <w:t>居民点</w:t>
            </w:r>
            <w:r>
              <w:rPr>
                <w:rFonts w:hint="eastAsia"/>
                <w:sz w:val="24"/>
                <w:szCs w:val="24"/>
                <w:lang w:eastAsia="zh-CN"/>
              </w:rPr>
              <w:t>，无</w:t>
            </w:r>
            <w:r>
              <w:rPr>
                <w:rFonts w:hint="eastAsia"/>
                <w:sz w:val="24"/>
                <w:szCs w:val="24"/>
              </w:rPr>
              <w:t>其他环境空气敏感保护点。</w:t>
            </w:r>
            <w:r>
              <w:rPr>
                <w:rFonts w:hint="eastAsia"/>
                <w:sz w:val="24"/>
                <w:szCs w:val="24"/>
                <w:lang w:eastAsia="zh-CN"/>
              </w:rPr>
              <w:t>沭阳县龙庙镇人民政府已开具拆建说明，</w:t>
            </w:r>
            <w:r>
              <w:rPr>
                <w:rFonts w:hint="eastAsia"/>
                <w:color w:val="auto"/>
                <w:sz w:val="24"/>
                <w:szCs w:val="24"/>
                <w:lang w:eastAsia="zh-CN"/>
              </w:rPr>
              <w:t>见附件。</w:t>
            </w:r>
            <w:r>
              <w:rPr>
                <w:rFonts w:hint="eastAsia"/>
                <w:sz w:val="24"/>
                <w:szCs w:val="24"/>
                <w:lang w:eastAsia="zh-CN"/>
              </w:rPr>
              <w:t>今后在此范围内也不得建设居民点、学校、医院等环境敏感项目。</w:t>
            </w:r>
            <w:r>
              <w:rPr>
                <w:rFonts w:hint="eastAsia"/>
                <w:sz w:val="24"/>
                <w:szCs w:val="24"/>
              </w:rPr>
              <w:t>针对车间产生的无组织废气要求建设单位加强车间内的</w:t>
            </w:r>
            <w:r>
              <w:rPr>
                <w:rFonts w:hint="eastAsia"/>
                <w:sz w:val="24"/>
                <w:szCs w:val="24"/>
                <w:lang w:eastAsia="zh-CN"/>
              </w:rPr>
              <w:t>密闭性</w:t>
            </w:r>
            <w:r>
              <w:rPr>
                <w:rFonts w:hint="eastAsia"/>
                <w:sz w:val="24"/>
                <w:szCs w:val="24"/>
              </w:rPr>
              <w:t>，保证车间良好的工作环境。</w:t>
            </w:r>
          </w:p>
          <w:p>
            <w:pPr>
              <w:adjustRightInd w:val="0"/>
              <w:snapToGrid w:val="0"/>
              <w:spacing w:line="360" w:lineRule="auto"/>
              <w:ind w:firstLine="480" w:firstLineChars="200"/>
              <w:rPr>
                <w:rFonts w:hint="default"/>
                <w:sz w:val="24"/>
                <w:szCs w:val="24"/>
                <w:lang w:val="en-US" w:eastAsia="zh-CN"/>
              </w:rPr>
            </w:pPr>
            <w:r>
              <w:rPr>
                <w:rFonts w:hint="eastAsia"/>
                <w:sz w:val="24"/>
                <w:szCs w:val="24"/>
              </w:rPr>
              <w:t>综上所述，本项目排放的有组织及无组织废气对周边环境影响较小，环境影响可以接受，不会降低周边大气环境质量。</w:t>
            </w:r>
          </w:p>
          <w:p>
            <w:pPr>
              <w:adjustRightInd w:val="0"/>
              <w:snapToGrid w:val="0"/>
              <w:spacing w:beforeLines="50" w:line="360" w:lineRule="auto"/>
              <w:ind w:firstLine="480" w:firstLineChars="200"/>
              <w:rPr>
                <w:sz w:val="24"/>
                <w:szCs w:val="24"/>
              </w:rPr>
            </w:pPr>
            <w:r>
              <w:rPr>
                <w:sz w:val="24"/>
                <w:szCs w:val="24"/>
              </w:rPr>
              <w:t>3</w:t>
            </w:r>
            <w:r>
              <w:rPr>
                <w:rFonts w:hint="eastAsia"/>
                <w:sz w:val="24"/>
                <w:szCs w:val="24"/>
              </w:rPr>
              <w:t>、</w:t>
            </w:r>
            <w:r>
              <w:rPr>
                <w:sz w:val="24"/>
                <w:szCs w:val="24"/>
              </w:rPr>
              <w:t>噪声</w:t>
            </w:r>
          </w:p>
          <w:p>
            <w:pPr>
              <w:adjustRightInd w:val="0"/>
              <w:snapToGrid w:val="0"/>
              <w:spacing w:line="360" w:lineRule="auto"/>
              <w:ind w:firstLine="480" w:firstLineChars="200"/>
              <w:rPr>
                <w:sz w:val="24"/>
                <w:szCs w:val="24"/>
              </w:rPr>
            </w:pPr>
            <w:r>
              <w:rPr>
                <w:sz w:val="24"/>
                <w:szCs w:val="24"/>
              </w:rPr>
              <w:t>建设项目噪声设备主要为</w:t>
            </w:r>
            <w:r>
              <w:rPr>
                <w:rFonts w:hint="eastAsia"/>
                <w:kern w:val="0"/>
                <w:sz w:val="24"/>
              </w:rPr>
              <w:t>漂白机、木粉粉碎机、筛粉机</w:t>
            </w:r>
            <w:r>
              <w:rPr>
                <w:sz w:val="24"/>
                <w:szCs w:val="24"/>
              </w:rPr>
              <w:t>等，噪声值范围在</w:t>
            </w:r>
            <w:r>
              <w:rPr>
                <w:rFonts w:hint="eastAsia"/>
                <w:sz w:val="24"/>
                <w:szCs w:val="24"/>
              </w:rPr>
              <w:t>75</w:t>
            </w:r>
            <w:r>
              <w:rPr>
                <w:sz w:val="24"/>
                <w:szCs w:val="24"/>
              </w:rPr>
              <w:t>~</w:t>
            </w:r>
            <w:r>
              <w:rPr>
                <w:rFonts w:hint="eastAsia"/>
                <w:sz w:val="24"/>
                <w:szCs w:val="24"/>
              </w:rPr>
              <w:t>85</w:t>
            </w:r>
            <w:r>
              <w:rPr>
                <w:sz w:val="24"/>
                <w:szCs w:val="24"/>
              </w:rPr>
              <w:t>dB</w:t>
            </w:r>
            <w:r>
              <w:rPr>
                <w:rFonts w:ascii="宋体" w:hAnsi="宋体"/>
                <w:sz w:val="24"/>
                <w:szCs w:val="24"/>
              </w:rPr>
              <w:t>(</w:t>
            </w:r>
            <w:r>
              <w:rPr>
                <w:sz w:val="24"/>
                <w:szCs w:val="24"/>
              </w:rPr>
              <w:t>A</w:t>
            </w:r>
            <w:r>
              <w:rPr>
                <w:rFonts w:ascii="宋体" w:hAnsi="宋体"/>
                <w:sz w:val="24"/>
                <w:szCs w:val="24"/>
              </w:rPr>
              <w:t>)</w:t>
            </w:r>
            <w:r>
              <w:rPr>
                <w:sz w:val="24"/>
                <w:szCs w:val="24"/>
              </w:rPr>
              <w:t>之间，预测步骤如下：</w:t>
            </w:r>
          </w:p>
          <w:p>
            <w:pPr>
              <w:numPr>
                <w:ilvl w:val="0"/>
                <w:numId w:val="7"/>
              </w:numPr>
              <w:adjustRightInd w:val="0"/>
              <w:snapToGrid w:val="0"/>
              <w:spacing w:line="360" w:lineRule="auto"/>
              <w:ind w:firstLine="480" w:firstLineChars="200"/>
              <w:rPr>
                <w:sz w:val="24"/>
                <w:szCs w:val="24"/>
              </w:rPr>
            </w:pPr>
            <w:r>
              <w:rPr>
                <w:sz w:val="24"/>
                <w:szCs w:val="24"/>
              </w:rPr>
              <w:t>声环境影响预测模式</w:t>
            </w:r>
          </w:p>
          <w:p>
            <w:pPr>
              <w:adjustRightInd w:val="0"/>
              <w:snapToGrid w:val="0"/>
              <w:spacing w:line="360" w:lineRule="auto"/>
              <w:ind w:firstLine="2880" w:firstLineChars="1200"/>
              <w:rPr>
                <w:sz w:val="24"/>
                <w:szCs w:val="24"/>
              </w:rPr>
            </w:pPr>
            <w:r>
              <w:rPr>
                <w:sz w:val="24"/>
                <w:szCs w:val="24"/>
              </w:rPr>
              <w:t>Lx=L</w:t>
            </w:r>
            <w:r>
              <w:rPr>
                <w:sz w:val="24"/>
                <w:szCs w:val="24"/>
                <w:vertAlign w:val="subscript"/>
              </w:rPr>
              <w:t>N</w:t>
            </w:r>
            <w:r>
              <w:rPr>
                <w:sz w:val="24"/>
                <w:szCs w:val="24"/>
              </w:rPr>
              <w:t>-L</w:t>
            </w:r>
            <w:r>
              <w:rPr>
                <w:sz w:val="24"/>
                <w:szCs w:val="24"/>
                <w:vertAlign w:val="subscript"/>
              </w:rPr>
              <w:t>W</w:t>
            </w:r>
            <w:r>
              <w:rPr>
                <w:sz w:val="24"/>
                <w:szCs w:val="24"/>
              </w:rPr>
              <w:t>-L</w:t>
            </w:r>
            <w:r>
              <w:rPr>
                <w:sz w:val="24"/>
                <w:szCs w:val="24"/>
                <w:vertAlign w:val="subscript"/>
              </w:rPr>
              <w:t>S</w:t>
            </w:r>
          </w:p>
          <w:p>
            <w:pPr>
              <w:adjustRightInd w:val="0"/>
              <w:snapToGrid w:val="0"/>
              <w:spacing w:line="360" w:lineRule="auto"/>
              <w:ind w:firstLine="480" w:firstLineChars="200"/>
              <w:rPr>
                <w:sz w:val="24"/>
                <w:szCs w:val="24"/>
              </w:rPr>
            </w:pPr>
            <w:r>
              <w:rPr>
                <w:sz w:val="24"/>
                <w:szCs w:val="24"/>
              </w:rPr>
              <w:t>式中：Lx—预测点新增噪声值，dB</w:t>
            </w:r>
            <w:r>
              <w:rPr>
                <w:rFonts w:ascii="宋体" w:hAnsi="宋体"/>
                <w:sz w:val="24"/>
                <w:szCs w:val="24"/>
              </w:rPr>
              <w:t>(</w:t>
            </w:r>
            <w:r>
              <w:rPr>
                <w:sz w:val="24"/>
                <w:szCs w:val="24"/>
              </w:rPr>
              <w:t>A</w:t>
            </w:r>
            <w:r>
              <w:rPr>
                <w:rFonts w:ascii="宋体" w:hAnsi="宋体"/>
                <w:sz w:val="24"/>
                <w:szCs w:val="24"/>
              </w:rPr>
              <w:t>)</w:t>
            </w:r>
            <w:r>
              <w:rPr>
                <w:sz w:val="24"/>
                <w:szCs w:val="24"/>
              </w:rPr>
              <w:t>；</w:t>
            </w:r>
          </w:p>
          <w:p>
            <w:pPr>
              <w:adjustRightInd w:val="0"/>
              <w:snapToGrid w:val="0"/>
              <w:spacing w:line="360" w:lineRule="auto"/>
              <w:ind w:firstLine="480" w:firstLineChars="200"/>
              <w:rPr>
                <w:sz w:val="24"/>
                <w:szCs w:val="24"/>
              </w:rPr>
            </w:pPr>
            <w:r>
              <w:rPr>
                <w:sz w:val="24"/>
                <w:szCs w:val="24"/>
              </w:rPr>
              <w:t>L</w:t>
            </w:r>
            <w:r>
              <w:rPr>
                <w:sz w:val="24"/>
                <w:szCs w:val="24"/>
                <w:vertAlign w:val="subscript"/>
              </w:rPr>
              <w:t>N</w:t>
            </w:r>
            <w:r>
              <w:rPr>
                <w:sz w:val="24"/>
                <w:szCs w:val="24"/>
              </w:rPr>
              <w:t>—噪声源噪声值，dB</w:t>
            </w:r>
            <w:r>
              <w:rPr>
                <w:rFonts w:ascii="宋体" w:hAnsi="宋体"/>
                <w:sz w:val="24"/>
                <w:szCs w:val="24"/>
              </w:rPr>
              <w:t>(</w:t>
            </w:r>
            <w:r>
              <w:rPr>
                <w:sz w:val="24"/>
                <w:szCs w:val="24"/>
              </w:rPr>
              <w:t>A</w:t>
            </w:r>
            <w:r>
              <w:rPr>
                <w:rFonts w:ascii="宋体" w:hAnsi="宋体"/>
                <w:sz w:val="24"/>
                <w:szCs w:val="24"/>
              </w:rPr>
              <w:t>)</w:t>
            </w:r>
            <w:r>
              <w:rPr>
                <w:sz w:val="24"/>
                <w:szCs w:val="24"/>
              </w:rPr>
              <w:t>；</w:t>
            </w:r>
          </w:p>
          <w:p>
            <w:pPr>
              <w:adjustRightInd w:val="0"/>
              <w:snapToGrid w:val="0"/>
              <w:spacing w:line="360" w:lineRule="auto"/>
              <w:ind w:firstLine="480" w:firstLineChars="200"/>
              <w:rPr>
                <w:sz w:val="24"/>
                <w:szCs w:val="24"/>
              </w:rPr>
            </w:pPr>
            <w:r>
              <w:rPr>
                <w:sz w:val="24"/>
                <w:szCs w:val="24"/>
              </w:rPr>
              <w:t>L</w:t>
            </w:r>
            <w:r>
              <w:rPr>
                <w:sz w:val="24"/>
                <w:szCs w:val="24"/>
                <w:vertAlign w:val="subscript"/>
              </w:rPr>
              <w:t>W</w:t>
            </w:r>
            <w:r>
              <w:rPr>
                <w:sz w:val="24"/>
                <w:szCs w:val="24"/>
              </w:rPr>
              <w:t>—围护结构的隔声量，dB</w:t>
            </w:r>
            <w:r>
              <w:rPr>
                <w:rFonts w:ascii="宋体" w:hAnsi="宋体"/>
                <w:sz w:val="24"/>
                <w:szCs w:val="24"/>
              </w:rPr>
              <w:t>(</w:t>
            </w:r>
            <w:r>
              <w:rPr>
                <w:sz w:val="24"/>
                <w:szCs w:val="24"/>
              </w:rPr>
              <w:t>A</w:t>
            </w:r>
            <w:r>
              <w:rPr>
                <w:rFonts w:ascii="宋体" w:hAnsi="宋体"/>
                <w:sz w:val="24"/>
                <w:szCs w:val="24"/>
              </w:rPr>
              <w:t>)</w:t>
            </w:r>
            <w:r>
              <w:rPr>
                <w:sz w:val="24"/>
                <w:szCs w:val="24"/>
              </w:rPr>
              <w:t>;</w:t>
            </w:r>
          </w:p>
          <w:p>
            <w:pPr>
              <w:adjustRightInd w:val="0"/>
              <w:snapToGrid w:val="0"/>
              <w:spacing w:line="360" w:lineRule="auto"/>
              <w:ind w:firstLine="480" w:firstLineChars="200"/>
              <w:rPr>
                <w:sz w:val="24"/>
                <w:szCs w:val="24"/>
              </w:rPr>
            </w:pPr>
            <w:r>
              <w:rPr>
                <w:sz w:val="24"/>
                <w:szCs w:val="24"/>
              </w:rPr>
              <w:t>L</w:t>
            </w:r>
            <w:r>
              <w:rPr>
                <w:sz w:val="24"/>
                <w:szCs w:val="24"/>
                <w:vertAlign w:val="subscript"/>
              </w:rPr>
              <w:t>S</w:t>
            </w:r>
            <w:r>
              <w:rPr>
                <w:sz w:val="24"/>
                <w:szCs w:val="24"/>
              </w:rPr>
              <w:t>—距离衰减值，dB</w:t>
            </w:r>
            <w:r>
              <w:rPr>
                <w:rFonts w:ascii="宋体" w:hAnsi="宋体"/>
                <w:sz w:val="24"/>
                <w:szCs w:val="24"/>
              </w:rPr>
              <w:t>(</w:t>
            </w:r>
            <w:r>
              <w:rPr>
                <w:sz w:val="24"/>
                <w:szCs w:val="24"/>
              </w:rPr>
              <w:t>A</w:t>
            </w:r>
            <w:r>
              <w:rPr>
                <w:rFonts w:ascii="宋体" w:hAnsi="宋体"/>
                <w:sz w:val="24"/>
                <w:szCs w:val="24"/>
              </w:rPr>
              <w:t>)</w:t>
            </w:r>
            <w:r>
              <w:rPr>
                <w:sz w:val="24"/>
                <w:szCs w:val="24"/>
              </w:rPr>
              <w:t>。</w:t>
            </w:r>
          </w:p>
          <w:p>
            <w:pPr>
              <w:adjustRightInd w:val="0"/>
              <w:snapToGrid w:val="0"/>
              <w:spacing w:line="360" w:lineRule="auto"/>
              <w:ind w:firstLine="480" w:firstLineChars="200"/>
              <w:rPr>
                <w:sz w:val="24"/>
                <w:szCs w:val="24"/>
              </w:rPr>
            </w:pPr>
            <w:r>
              <w:rPr>
                <w:sz w:val="24"/>
                <w:szCs w:val="24"/>
              </w:rPr>
              <w:t>评价要求建设单位进一步采取以下措施减少固体废物对周围环境可能产生的影响：</w:t>
            </w:r>
          </w:p>
          <w:p>
            <w:pPr>
              <w:adjustRightInd w:val="0"/>
              <w:snapToGrid w:val="0"/>
              <w:spacing w:line="360" w:lineRule="auto"/>
              <w:ind w:firstLine="480" w:firstLineChars="200"/>
              <w:rPr>
                <w:sz w:val="24"/>
                <w:szCs w:val="24"/>
              </w:rPr>
            </w:pPr>
            <w:r>
              <w:rPr>
                <w:sz w:val="24"/>
                <w:szCs w:val="24"/>
              </w:rPr>
              <w:t>厂房墙壁、门窗等围护结构的隔声量主要取决于其单位面积质量G</w:t>
            </w:r>
            <w:r>
              <w:rPr>
                <w:rFonts w:ascii="宋体" w:hAnsi="宋体"/>
                <w:sz w:val="24"/>
                <w:szCs w:val="24"/>
              </w:rPr>
              <w:t>(</w:t>
            </w:r>
            <w:r>
              <w:rPr>
                <w:sz w:val="24"/>
                <w:szCs w:val="24"/>
              </w:rPr>
              <w:t>kg/m</w:t>
            </w:r>
            <w:r>
              <w:rPr>
                <w:sz w:val="24"/>
                <w:szCs w:val="24"/>
                <w:vertAlign w:val="superscript"/>
              </w:rPr>
              <w:t>2</w:t>
            </w:r>
            <w:r>
              <w:rPr>
                <w:rFonts w:ascii="宋体" w:hAnsi="宋体"/>
                <w:sz w:val="24"/>
                <w:szCs w:val="24"/>
              </w:rPr>
              <w:t>)</w:t>
            </w:r>
            <w:r>
              <w:rPr>
                <w:sz w:val="24"/>
                <w:szCs w:val="24"/>
              </w:rPr>
              <w:t>及噪声频率f</w:t>
            </w:r>
            <w:r>
              <w:rPr>
                <w:rFonts w:ascii="宋体" w:hAnsi="宋体"/>
                <w:sz w:val="24"/>
                <w:szCs w:val="24"/>
              </w:rPr>
              <w:t>(</w:t>
            </w:r>
            <w:r>
              <w:rPr>
                <w:sz w:val="24"/>
                <w:szCs w:val="24"/>
              </w:rPr>
              <w:t>Hz</w:t>
            </w:r>
            <w:r>
              <w:rPr>
                <w:rFonts w:ascii="宋体" w:hAnsi="宋体"/>
                <w:sz w:val="24"/>
                <w:szCs w:val="24"/>
              </w:rPr>
              <w:t>)</w:t>
            </w:r>
            <w:r>
              <w:rPr>
                <w:sz w:val="24"/>
                <w:szCs w:val="24"/>
              </w:rPr>
              <w:t>。</w:t>
            </w:r>
          </w:p>
          <w:p>
            <w:pPr>
              <w:numPr>
                <w:ilvl w:val="0"/>
                <w:numId w:val="7"/>
              </w:numPr>
              <w:adjustRightInd w:val="0"/>
              <w:snapToGrid w:val="0"/>
              <w:spacing w:line="360" w:lineRule="auto"/>
              <w:ind w:firstLine="480" w:firstLineChars="200"/>
              <w:rPr>
                <w:sz w:val="24"/>
                <w:szCs w:val="24"/>
              </w:rPr>
            </w:pPr>
            <w:r>
              <w:rPr>
                <w:sz w:val="24"/>
                <w:szCs w:val="24"/>
              </w:rPr>
              <w:t>在环境噪声预测中各噪声源作为点声源出来，故距离衰减值：</w:t>
            </w:r>
          </w:p>
          <w:p>
            <w:pPr>
              <w:adjustRightInd w:val="0"/>
              <w:snapToGrid w:val="0"/>
              <w:spacing w:line="360" w:lineRule="auto"/>
              <w:ind w:firstLine="3360" w:firstLineChars="1400"/>
              <w:rPr>
                <w:sz w:val="24"/>
                <w:szCs w:val="24"/>
              </w:rPr>
            </w:pPr>
            <w:r>
              <w:rPr>
                <w:sz w:val="24"/>
                <w:szCs w:val="24"/>
              </w:rPr>
              <w:t>L</w:t>
            </w:r>
            <w:r>
              <w:rPr>
                <w:sz w:val="24"/>
                <w:szCs w:val="24"/>
                <w:vertAlign w:val="subscript"/>
              </w:rPr>
              <w:t>S</w:t>
            </w:r>
            <w:r>
              <w:rPr>
                <w:sz w:val="24"/>
                <w:szCs w:val="24"/>
              </w:rPr>
              <w:t>=20lg(r/r</w:t>
            </w:r>
            <w:r>
              <w:rPr>
                <w:sz w:val="24"/>
                <w:szCs w:val="24"/>
                <w:vertAlign w:val="subscript"/>
              </w:rPr>
              <w:t>0</w:t>
            </w:r>
            <w:r>
              <w:rPr>
                <w:sz w:val="24"/>
                <w:szCs w:val="24"/>
              </w:rPr>
              <w:t>)</w:t>
            </w:r>
          </w:p>
          <w:p>
            <w:pPr>
              <w:adjustRightInd w:val="0"/>
              <w:snapToGrid w:val="0"/>
              <w:spacing w:line="360" w:lineRule="auto"/>
              <w:ind w:firstLine="480" w:firstLineChars="200"/>
              <w:rPr>
                <w:sz w:val="24"/>
                <w:szCs w:val="24"/>
              </w:rPr>
            </w:pPr>
            <w:r>
              <w:rPr>
                <w:sz w:val="24"/>
                <w:szCs w:val="24"/>
              </w:rPr>
              <w:t>式中：r—关心点与噪声源合成级点的距离</w:t>
            </w:r>
            <w:r>
              <w:rPr>
                <w:rFonts w:ascii="宋体" w:hAnsi="宋体"/>
                <w:sz w:val="24"/>
                <w:szCs w:val="24"/>
              </w:rPr>
              <w:t>(</w:t>
            </w:r>
            <w:r>
              <w:rPr>
                <w:sz w:val="24"/>
                <w:szCs w:val="24"/>
              </w:rPr>
              <w:t>m</w:t>
            </w:r>
            <w:r>
              <w:rPr>
                <w:rFonts w:ascii="宋体" w:hAnsi="宋体"/>
                <w:sz w:val="24"/>
                <w:szCs w:val="24"/>
              </w:rPr>
              <w:t>)</w:t>
            </w:r>
            <w:r>
              <w:rPr>
                <w:sz w:val="24"/>
                <w:szCs w:val="24"/>
              </w:rPr>
              <w:t>；</w:t>
            </w:r>
          </w:p>
          <w:p>
            <w:pPr>
              <w:adjustRightInd w:val="0"/>
              <w:snapToGrid w:val="0"/>
              <w:spacing w:line="360" w:lineRule="auto"/>
              <w:ind w:firstLine="480" w:firstLineChars="200"/>
              <w:rPr>
                <w:sz w:val="24"/>
                <w:szCs w:val="24"/>
              </w:rPr>
            </w:pPr>
            <w:r>
              <w:rPr>
                <w:sz w:val="24"/>
                <w:szCs w:val="24"/>
              </w:rPr>
              <w:t>r</w:t>
            </w:r>
            <w:r>
              <w:rPr>
                <w:sz w:val="24"/>
                <w:szCs w:val="24"/>
                <w:vertAlign w:val="subscript"/>
              </w:rPr>
              <w:t>0</w:t>
            </w:r>
            <w:r>
              <w:rPr>
                <w:sz w:val="24"/>
                <w:szCs w:val="24"/>
              </w:rPr>
              <w:t>—噪声合成点与噪声源的距离，统一r0=1.0m。</w:t>
            </w:r>
          </w:p>
          <w:p>
            <w:pPr>
              <w:adjustRightInd w:val="0"/>
              <w:snapToGrid w:val="0"/>
              <w:spacing w:line="360" w:lineRule="auto"/>
              <w:ind w:firstLine="480" w:firstLineChars="200"/>
              <w:rPr>
                <w:sz w:val="24"/>
                <w:szCs w:val="24"/>
              </w:rPr>
            </w:pPr>
            <w:r>
              <w:rPr>
                <w:sz w:val="24"/>
                <w:szCs w:val="24"/>
              </w:rPr>
              <w:t>（3）多台相同设备在预测点产生的声级合成</w:t>
            </w:r>
          </w:p>
          <w:p>
            <w:pPr>
              <w:adjustRightInd w:val="0"/>
              <w:snapToGrid w:val="0"/>
              <w:spacing w:line="360" w:lineRule="auto"/>
              <w:ind w:firstLine="3720" w:firstLineChars="1550"/>
              <w:rPr>
                <w:sz w:val="24"/>
                <w:szCs w:val="24"/>
              </w:rPr>
            </w:pPr>
            <w:r>
              <w:rPr>
                <w:sz w:val="24"/>
                <w:szCs w:val="24"/>
              </w:rPr>
              <w:t>L</w:t>
            </w:r>
            <w:r>
              <w:rPr>
                <w:sz w:val="18"/>
                <w:szCs w:val="18"/>
              </w:rPr>
              <w:t>T</w:t>
            </w:r>
            <w:r>
              <w:rPr>
                <w:sz w:val="24"/>
                <w:szCs w:val="24"/>
              </w:rPr>
              <w:t>p=Lpi+10logn</w:t>
            </w:r>
          </w:p>
          <w:p>
            <w:pPr>
              <w:adjustRightInd w:val="0"/>
              <w:snapToGrid w:val="0"/>
              <w:spacing w:line="360" w:lineRule="auto"/>
              <w:ind w:firstLine="480" w:firstLineChars="200"/>
              <w:rPr>
                <w:sz w:val="24"/>
                <w:szCs w:val="24"/>
              </w:rPr>
            </w:pPr>
            <w:r>
              <w:rPr>
                <w:sz w:val="24"/>
                <w:szCs w:val="24"/>
              </w:rPr>
              <w:t>式中：L</w:t>
            </w:r>
            <w:r>
              <w:rPr>
                <w:sz w:val="18"/>
                <w:szCs w:val="18"/>
              </w:rPr>
              <w:t>T</w:t>
            </w:r>
            <w:r>
              <w:rPr>
                <w:sz w:val="24"/>
                <w:szCs w:val="24"/>
              </w:rPr>
              <w:t>p—多台相同设备在预测点的合成声级，dB</w:t>
            </w:r>
            <w:r>
              <w:rPr>
                <w:rFonts w:ascii="宋体" w:hAnsi="宋体"/>
                <w:sz w:val="24"/>
                <w:szCs w:val="24"/>
              </w:rPr>
              <w:t>(</w:t>
            </w:r>
            <w:r>
              <w:rPr>
                <w:sz w:val="24"/>
                <w:szCs w:val="24"/>
              </w:rPr>
              <w:t>A</w:t>
            </w:r>
            <w:r>
              <w:rPr>
                <w:rFonts w:ascii="宋体" w:hAnsi="宋体"/>
                <w:sz w:val="24"/>
                <w:szCs w:val="24"/>
              </w:rPr>
              <w:t>)</w:t>
            </w:r>
            <w:r>
              <w:rPr>
                <w:rFonts w:hint="eastAsia" w:ascii="宋体" w:hAnsi="宋体"/>
                <w:sz w:val="24"/>
                <w:szCs w:val="24"/>
              </w:rPr>
              <w:t>；</w:t>
            </w:r>
          </w:p>
          <w:p>
            <w:pPr>
              <w:adjustRightInd w:val="0"/>
              <w:snapToGrid w:val="0"/>
              <w:spacing w:line="360" w:lineRule="auto"/>
              <w:ind w:firstLine="480" w:firstLineChars="200"/>
              <w:rPr>
                <w:sz w:val="24"/>
                <w:szCs w:val="24"/>
              </w:rPr>
            </w:pPr>
            <w:r>
              <w:rPr>
                <w:sz w:val="24"/>
                <w:szCs w:val="24"/>
              </w:rPr>
              <w:t>Lpi—单台设备在预测点的噪声值，dB</w:t>
            </w:r>
            <w:r>
              <w:rPr>
                <w:rFonts w:ascii="宋体" w:hAnsi="宋体"/>
                <w:sz w:val="24"/>
                <w:szCs w:val="24"/>
              </w:rPr>
              <w:t>(</w:t>
            </w:r>
            <w:r>
              <w:rPr>
                <w:sz w:val="24"/>
                <w:szCs w:val="24"/>
              </w:rPr>
              <w:t>A</w:t>
            </w:r>
            <w:r>
              <w:rPr>
                <w:rFonts w:ascii="宋体" w:hAnsi="宋体"/>
                <w:sz w:val="24"/>
                <w:szCs w:val="24"/>
              </w:rPr>
              <w:t>)</w:t>
            </w:r>
            <w:r>
              <w:rPr>
                <w:sz w:val="24"/>
                <w:szCs w:val="24"/>
              </w:rPr>
              <w:t>；</w:t>
            </w:r>
          </w:p>
          <w:p>
            <w:pPr>
              <w:adjustRightInd w:val="0"/>
              <w:snapToGrid w:val="0"/>
              <w:spacing w:line="360" w:lineRule="auto"/>
              <w:ind w:firstLine="480" w:firstLineChars="200"/>
              <w:rPr>
                <w:sz w:val="24"/>
                <w:szCs w:val="24"/>
              </w:rPr>
            </w:pPr>
            <w:r>
              <w:rPr>
                <w:sz w:val="24"/>
                <w:szCs w:val="24"/>
              </w:rPr>
              <w:t>n—相同设备数量。</w:t>
            </w:r>
          </w:p>
          <w:p>
            <w:pPr>
              <w:adjustRightInd w:val="0"/>
              <w:snapToGrid w:val="0"/>
              <w:spacing w:line="360" w:lineRule="auto"/>
              <w:ind w:firstLine="480" w:firstLineChars="200"/>
              <w:rPr>
                <w:sz w:val="24"/>
                <w:szCs w:val="24"/>
              </w:rPr>
            </w:pPr>
            <w:r>
              <w:rPr>
                <w:sz w:val="24"/>
                <w:szCs w:val="24"/>
              </w:rPr>
              <w:t>（4）噪声影响预测结果：根据上述模式及结合项目平面布置情况预测，车间设备噪声值影响结果分析如下：</w:t>
            </w:r>
          </w:p>
          <w:p>
            <w:pPr>
              <w:adjustRightInd w:val="0"/>
              <w:snapToGrid w:val="0"/>
              <w:spacing w:line="360" w:lineRule="auto"/>
              <w:ind w:firstLine="480" w:firstLineChars="200"/>
              <w:rPr>
                <w:sz w:val="24"/>
                <w:szCs w:val="24"/>
              </w:rPr>
            </w:pPr>
            <w:r>
              <w:rPr>
                <w:sz w:val="24"/>
                <w:szCs w:val="24"/>
              </w:rPr>
              <w:t>将整体声源看作一个隔声间，其隔声量视门、窗和墙等隔声效果而定，一般普通房间隔声量为10~25dB</w:t>
            </w:r>
            <w:r>
              <w:rPr>
                <w:rFonts w:ascii="宋体" w:hAnsi="宋体"/>
                <w:sz w:val="24"/>
                <w:szCs w:val="24"/>
              </w:rPr>
              <w:t>(</w:t>
            </w:r>
            <w:r>
              <w:rPr>
                <w:sz w:val="24"/>
                <w:szCs w:val="24"/>
              </w:rPr>
              <w:t>A</w:t>
            </w:r>
            <w:r>
              <w:rPr>
                <w:rFonts w:ascii="宋体" w:hAnsi="宋体"/>
                <w:sz w:val="24"/>
                <w:szCs w:val="24"/>
              </w:rPr>
              <w:t>)</w:t>
            </w:r>
            <w:r>
              <w:rPr>
                <w:sz w:val="24"/>
                <w:szCs w:val="24"/>
              </w:rPr>
              <w:t>，一般楼层隔声量去取20dB</w:t>
            </w:r>
            <w:r>
              <w:rPr>
                <w:rFonts w:ascii="宋体" w:hAnsi="宋体"/>
                <w:sz w:val="24"/>
                <w:szCs w:val="24"/>
              </w:rPr>
              <w:t>(</w:t>
            </w:r>
            <w:r>
              <w:rPr>
                <w:sz w:val="24"/>
                <w:szCs w:val="24"/>
              </w:rPr>
              <w:t>A</w:t>
            </w:r>
            <w:r>
              <w:rPr>
                <w:rFonts w:ascii="宋体" w:hAnsi="宋体"/>
                <w:sz w:val="24"/>
                <w:szCs w:val="24"/>
              </w:rPr>
              <w:t>)</w:t>
            </w:r>
            <w:r>
              <w:rPr>
                <w:sz w:val="24"/>
                <w:szCs w:val="24"/>
              </w:rPr>
              <w:t>，经专门吸、隔声处理的房间可取40dB</w:t>
            </w:r>
            <w:r>
              <w:rPr>
                <w:rFonts w:ascii="宋体" w:hAnsi="宋体"/>
                <w:sz w:val="24"/>
                <w:szCs w:val="24"/>
              </w:rPr>
              <w:t>(</w:t>
            </w:r>
            <w:r>
              <w:rPr>
                <w:sz w:val="24"/>
                <w:szCs w:val="24"/>
              </w:rPr>
              <w:t>A</w:t>
            </w:r>
            <w:r>
              <w:rPr>
                <w:rFonts w:ascii="宋体" w:hAnsi="宋体"/>
                <w:sz w:val="24"/>
                <w:szCs w:val="24"/>
              </w:rPr>
              <w:t>)</w:t>
            </w:r>
            <w:r>
              <w:rPr>
                <w:sz w:val="24"/>
                <w:szCs w:val="24"/>
              </w:rPr>
              <w:t>，本项目取隔声值25dB</w:t>
            </w:r>
            <w:r>
              <w:rPr>
                <w:rFonts w:ascii="宋体" w:hAnsi="宋体"/>
                <w:sz w:val="24"/>
                <w:szCs w:val="24"/>
              </w:rPr>
              <w:t>(</w:t>
            </w:r>
            <w:r>
              <w:rPr>
                <w:sz w:val="24"/>
                <w:szCs w:val="24"/>
              </w:rPr>
              <w:t>A</w:t>
            </w:r>
            <w:r>
              <w:rPr>
                <w:rFonts w:ascii="宋体" w:hAnsi="宋体"/>
                <w:sz w:val="24"/>
                <w:szCs w:val="24"/>
              </w:rPr>
              <w:t>)</w:t>
            </w:r>
            <w:r>
              <w:rPr>
                <w:sz w:val="24"/>
                <w:szCs w:val="24"/>
              </w:rPr>
              <w:t>，项目周边各点位噪声预测结果见表7-</w:t>
            </w:r>
            <w:r>
              <w:rPr>
                <w:rFonts w:hint="eastAsia"/>
                <w:sz w:val="24"/>
                <w:szCs w:val="24"/>
              </w:rPr>
              <w:t>13</w:t>
            </w:r>
            <w:r>
              <w:rPr>
                <w:sz w:val="24"/>
                <w:szCs w:val="24"/>
              </w:rPr>
              <w:t>。</w:t>
            </w:r>
          </w:p>
          <w:p>
            <w:pPr>
              <w:jc w:val="center"/>
              <w:rPr>
                <w:b/>
                <w:sz w:val="24"/>
                <w:szCs w:val="24"/>
              </w:rPr>
            </w:pPr>
            <w:r>
              <w:rPr>
                <w:b/>
                <w:sz w:val="24"/>
                <w:szCs w:val="24"/>
              </w:rPr>
              <w:t>表7-</w:t>
            </w:r>
            <w:r>
              <w:rPr>
                <w:rFonts w:hint="eastAsia"/>
                <w:b/>
                <w:sz w:val="24"/>
                <w:szCs w:val="24"/>
              </w:rPr>
              <w:t xml:space="preserve">13  </w:t>
            </w:r>
            <w:r>
              <w:rPr>
                <w:b/>
                <w:sz w:val="24"/>
                <w:szCs w:val="24"/>
              </w:rPr>
              <w:t>厂界排放噪声影响预测结果单位：dB</w:t>
            </w:r>
            <w:r>
              <w:rPr>
                <w:rFonts w:ascii="宋体" w:hAnsi="宋体"/>
                <w:b/>
                <w:sz w:val="24"/>
                <w:szCs w:val="24"/>
              </w:rPr>
              <w:t>(</w:t>
            </w:r>
            <w:r>
              <w:rPr>
                <w:b/>
                <w:sz w:val="24"/>
                <w:szCs w:val="24"/>
              </w:rPr>
              <w:t>A</w:t>
            </w:r>
            <w:r>
              <w:rPr>
                <w:rFonts w:ascii="宋体" w:hAnsi="宋体"/>
                <w:b/>
                <w:sz w:val="24"/>
                <w:szCs w:val="24"/>
              </w:rPr>
              <w:t>)</w:t>
            </w:r>
          </w:p>
          <w:tbl>
            <w:tblPr>
              <w:tblStyle w:val="3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991"/>
              <w:gridCol w:w="711"/>
              <w:gridCol w:w="1557"/>
              <w:gridCol w:w="34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890" w:type="pct"/>
                  <w:vMerge w:val="restart"/>
                  <w:vAlign w:val="center"/>
                </w:tcPr>
                <w:p>
                  <w:pPr>
                    <w:adjustRightInd w:val="0"/>
                    <w:snapToGrid w:val="0"/>
                    <w:jc w:val="center"/>
                    <w:rPr>
                      <w:sz w:val="24"/>
                      <w:szCs w:val="24"/>
                    </w:rPr>
                  </w:pPr>
                  <w:r>
                    <w:rPr>
                      <w:b/>
                    </w:rPr>
                    <w:t>点位</w:t>
                  </w:r>
                </w:p>
              </w:tc>
              <w:tc>
                <w:tcPr>
                  <w:tcW w:w="1037" w:type="pct"/>
                  <w:gridSpan w:val="2"/>
                </w:tcPr>
                <w:p>
                  <w:pPr>
                    <w:adjustRightInd w:val="0"/>
                    <w:snapToGrid w:val="0"/>
                    <w:jc w:val="center"/>
                    <w:rPr>
                      <w:b/>
                    </w:rPr>
                  </w:pPr>
                  <w:r>
                    <w:rPr>
                      <w:b/>
                    </w:rPr>
                    <w:t>厂界贡献值</w:t>
                  </w:r>
                </w:p>
              </w:tc>
              <w:tc>
                <w:tcPr>
                  <w:tcW w:w="949" w:type="pct"/>
                  <w:vMerge w:val="restart"/>
                  <w:vAlign w:val="center"/>
                </w:tcPr>
                <w:p>
                  <w:pPr>
                    <w:adjustRightInd w:val="0"/>
                    <w:snapToGrid w:val="0"/>
                    <w:jc w:val="center"/>
                    <w:rPr>
                      <w:b/>
                    </w:rPr>
                  </w:pPr>
                  <w:r>
                    <w:rPr>
                      <w:b/>
                    </w:rPr>
                    <w:t>达标情况</w:t>
                  </w:r>
                </w:p>
              </w:tc>
              <w:tc>
                <w:tcPr>
                  <w:tcW w:w="2124" w:type="pct"/>
                  <w:vMerge w:val="restart"/>
                  <w:vAlign w:val="center"/>
                </w:tcPr>
                <w:p>
                  <w:pPr>
                    <w:adjustRightInd w:val="0"/>
                    <w:snapToGrid w:val="0"/>
                    <w:jc w:val="center"/>
                    <w:rPr>
                      <w:b/>
                    </w:rPr>
                  </w:pPr>
                  <w:r>
                    <w:rPr>
                      <w:b/>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890" w:type="pct"/>
                  <w:vMerge w:val="continue"/>
                </w:tcPr>
                <w:p>
                  <w:pPr>
                    <w:adjustRightInd w:val="0"/>
                    <w:snapToGrid w:val="0"/>
                    <w:jc w:val="center"/>
                  </w:pPr>
                </w:p>
              </w:tc>
              <w:tc>
                <w:tcPr>
                  <w:tcW w:w="604" w:type="pct"/>
                </w:tcPr>
                <w:p>
                  <w:pPr>
                    <w:adjustRightInd w:val="0"/>
                    <w:snapToGrid w:val="0"/>
                    <w:jc w:val="center"/>
                    <w:rPr>
                      <w:b/>
                    </w:rPr>
                  </w:pPr>
                  <w:r>
                    <w:rPr>
                      <w:b/>
                    </w:rPr>
                    <w:t>昼间</w:t>
                  </w:r>
                </w:p>
              </w:tc>
              <w:tc>
                <w:tcPr>
                  <w:tcW w:w="433" w:type="pct"/>
                </w:tcPr>
                <w:p>
                  <w:pPr>
                    <w:adjustRightInd w:val="0"/>
                    <w:snapToGrid w:val="0"/>
                    <w:jc w:val="center"/>
                    <w:rPr>
                      <w:b/>
                    </w:rPr>
                  </w:pPr>
                  <w:r>
                    <w:rPr>
                      <w:b/>
                    </w:rPr>
                    <w:t>夜间</w:t>
                  </w:r>
                </w:p>
              </w:tc>
              <w:tc>
                <w:tcPr>
                  <w:tcW w:w="949" w:type="pct"/>
                  <w:vMerge w:val="continue"/>
                </w:tcPr>
                <w:p>
                  <w:pPr>
                    <w:adjustRightInd w:val="0"/>
                    <w:snapToGrid w:val="0"/>
                    <w:jc w:val="center"/>
                    <w:rPr>
                      <w:sz w:val="24"/>
                      <w:szCs w:val="24"/>
                    </w:rPr>
                  </w:pPr>
                </w:p>
              </w:tc>
              <w:tc>
                <w:tcPr>
                  <w:tcW w:w="2124" w:type="pct"/>
                  <w:vMerge w:val="continue"/>
                </w:tcPr>
                <w:p>
                  <w:pPr>
                    <w:adjustRightInd w:val="0"/>
                    <w:snapToGrid w:val="0"/>
                    <w:jc w:val="center"/>
                    <w:rPr>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0" w:type="pct"/>
                  <w:vAlign w:val="center"/>
                </w:tcPr>
                <w:p>
                  <w:pPr>
                    <w:jc w:val="center"/>
                    <w:rPr>
                      <w:bCs/>
                      <w:szCs w:val="21"/>
                    </w:rPr>
                  </w:pPr>
                  <w:r>
                    <w:rPr>
                      <w:bCs/>
                      <w:szCs w:val="21"/>
                    </w:rPr>
                    <w:t>东</w:t>
                  </w:r>
                </w:p>
              </w:tc>
              <w:tc>
                <w:tcPr>
                  <w:tcW w:w="604" w:type="pct"/>
                  <w:vAlign w:val="center"/>
                </w:tcPr>
                <w:p>
                  <w:pPr>
                    <w:jc w:val="center"/>
                    <w:rPr>
                      <w:bCs/>
                      <w:szCs w:val="21"/>
                    </w:rPr>
                  </w:pPr>
                  <w:r>
                    <w:rPr>
                      <w:rFonts w:hint="eastAsia"/>
                      <w:bCs/>
                      <w:szCs w:val="21"/>
                    </w:rPr>
                    <w:t>50</w:t>
                  </w:r>
                  <w:r>
                    <w:rPr>
                      <w:bCs/>
                      <w:szCs w:val="21"/>
                    </w:rPr>
                    <w:t>.06</w:t>
                  </w:r>
                </w:p>
              </w:tc>
              <w:tc>
                <w:tcPr>
                  <w:tcW w:w="433" w:type="pct"/>
                  <w:vAlign w:val="center"/>
                </w:tcPr>
                <w:p>
                  <w:pPr>
                    <w:jc w:val="center"/>
                    <w:rPr>
                      <w:bCs/>
                      <w:szCs w:val="21"/>
                    </w:rPr>
                  </w:pPr>
                  <w:r>
                    <w:rPr>
                      <w:rFonts w:hint="eastAsia"/>
                      <w:bCs/>
                      <w:szCs w:val="21"/>
                    </w:rPr>
                    <w:t>-</w:t>
                  </w:r>
                </w:p>
              </w:tc>
              <w:tc>
                <w:tcPr>
                  <w:tcW w:w="949" w:type="pct"/>
                  <w:vAlign w:val="center"/>
                </w:tcPr>
                <w:p>
                  <w:pPr>
                    <w:jc w:val="center"/>
                    <w:rPr>
                      <w:bCs/>
                      <w:szCs w:val="21"/>
                    </w:rPr>
                  </w:pPr>
                  <w:r>
                    <w:rPr>
                      <w:bCs/>
                      <w:szCs w:val="21"/>
                    </w:rPr>
                    <w:t>达标</w:t>
                  </w:r>
                </w:p>
              </w:tc>
              <w:tc>
                <w:tcPr>
                  <w:tcW w:w="2124" w:type="pct"/>
                  <w:vMerge w:val="restart"/>
                  <w:vAlign w:val="center"/>
                </w:tcPr>
                <w:p>
                  <w:pPr>
                    <w:jc w:val="center"/>
                    <w:rPr>
                      <w:bCs/>
                      <w:szCs w:val="21"/>
                    </w:rPr>
                  </w:pPr>
                  <w:r>
                    <w:rPr>
                      <w:rFonts w:hint="eastAsia"/>
                      <w:bCs/>
                      <w:szCs w:val="21"/>
                    </w:rPr>
                    <w:t>2</w:t>
                  </w:r>
                  <w:r>
                    <w:rPr>
                      <w:bCs/>
                      <w:szCs w:val="21"/>
                    </w:rPr>
                    <w:t>类，昼间≤6</w:t>
                  </w:r>
                  <w:r>
                    <w:rPr>
                      <w:rFonts w:hint="eastAsia"/>
                      <w:bCs/>
                      <w:szCs w:val="21"/>
                    </w:rPr>
                    <w:t>0</w:t>
                  </w:r>
                  <w:r>
                    <w:rPr>
                      <w:bCs/>
                      <w:szCs w:val="21"/>
                    </w:rPr>
                    <w:t>dB</w:t>
                  </w:r>
                  <w:r>
                    <w:rPr>
                      <w:rFonts w:ascii="宋体" w:hAnsi="宋体"/>
                      <w:bCs/>
                      <w:szCs w:val="21"/>
                    </w:rPr>
                    <w:t>(</w:t>
                  </w:r>
                  <w:r>
                    <w:rPr>
                      <w:bCs/>
                      <w:szCs w:val="21"/>
                    </w:rPr>
                    <w:t>A</w:t>
                  </w:r>
                  <w:r>
                    <w:rPr>
                      <w:rFonts w:ascii="宋体" w:hAnsi="宋体"/>
                      <w:bCs/>
                      <w:szCs w:val="21"/>
                    </w:rPr>
                    <w:t>)</w:t>
                  </w:r>
                  <w:r>
                    <w:rPr>
                      <w:rFonts w:hint="eastAsia" w:ascii="宋体" w:hAnsi="宋体"/>
                      <w:bCs/>
                      <w:szCs w:val="21"/>
                    </w:rPr>
                    <w:t>；</w:t>
                  </w:r>
                  <w:r>
                    <w:rPr>
                      <w:bCs/>
                      <w:szCs w:val="21"/>
                    </w:rPr>
                    <w:t>夜间≤</w:t>
                  </w:r>
                  <w:r>
                    <w:rPr>
                      <w:rFonts w:hint="eastAsia"/>
                      <w:bCs/>
                      <w:szCs w:val="21"/>
                    </w:rPr>
                    <w:t>50</w:t>
                  </w:r>
                  <w:r>
                    <w:rPr>
                      <w:bCs/>
                      <w:szCs w:val="21"/>
                    </w:rPr>
                    <w:t>dB</w:t>
                  </w:r>
                  <w:r>
                    <w:rPr>
                      <w:rFonts w:ascii="宋体" w:hAnsi="宋体"/>
                      <w:bCs/>
                      <w:szCs w:val="21"/>
                    </w:rPr>
                    <w:t>(</w:t>
                  </w:r>
                  <w:r>
                    <w:rPr>
                      <w:bCs/>
                      <w:szCs w:val="21"/>
                    </w:rPr>
                    <w:t>A</w:t>
                  </w:r>
                  <w:r>
                    <w:rPr>
                      <w:rFonts w:ascii="宋体" w:hAnsi="宋体"/>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0" w:type="pct"/>
                  <w:vAlign w:val="center"/>
                </w:tcPr>
                <w:p>
                  <w:pPr>
                    <w:jc w:val="center"/>
                    <w:rPr>
                      <w:bCs/>
                      <w:szCs w:val="21"/>
                    </w:rPr>
                  </w:pPr>
                  <w:r>
                    <w:rPr>
                      <w:bCs/>
                      <w:szCs w:val="21"/>
                    </w:rPr>
                    <w:t>南</w:t>
                  </w:r>
                </w:p>
              </w:tc>
              <w:tc>
                <w:tcPr>
                  <w:tcW w:w="604" w:type="pct"/>
                  <w:vAlign w:val="center"/>
                </w:tcPr>
                <w:p>
                  <w:pPr>
                    <w:jc w:val="center"/>
                    <w:rPr>
                      <w:bCs/>
                      <w:szCs w:val="21"/>
                    </w:rPr>
                  </w:pPr>
                  <w:r>
                    <w:rPr>
                      <w:rFonts w:hint="eastAsia"/>
                      <w:bCs/>
                      <w:szCs w:val="21"/>
                    </w:rPr>
                    <w:t>49</w:t>
                  </w:r>
                  <w:r>
                    <w:rPr>
                      <w:bCs/>
                      <w:szCs w:val="21"/>
                    </w:rPr>
                    <w:t>.07</w:t>
                  </w:r>
                </w:p>
              </w:tc>
              <w:tc>
                <w:tcPr>
                  <w:tcW w:w="433" w:type="pct"/>
                  <w:vAlign w:val="center"/>
                </w:tcPr>
                <w:p>
                  <w:pPr>
                    <w:jc w:val="center"/>
                    <w:rPr>
                      <w:bCs/>
                      <w:szCs w:val="21"/>
                    </w:rPr>
                  </w:pPr>
                  <w:r>
                    <w:rPr>
                      <w:rFonts w:hint="eastAsia"/>
                      <w:bCs/>
                      <w:szCs w:val="21"/>
                    </w:rPr>
                    <w:t>-</w:t>
                  </w:r>
                </w:p>
              </w:tc>
              <w:tc>
                <w:tcPr>
                  <w:tcW w:w="949" w:type="pct"/>
                  <w:vAlign w:val="center"/>
                </w:tcPr>
                <w:p>
                  <w:pPr>
                    <w:jc w:val="center"/>
                    <w:rPr>
                      <w:bCs/>
                      <w:szCs w:val="21"/>
                    </w:rPr>
                  </w:pPr>
                  <w:r>
                    <w:rPr>
                      <w:bCs/>
                      <w:szCs w:val="21"/>
                    </w:rPr>
                    <w:t>达标</w:t>
                  </w:r>
                </w:p>
              </w:tc>
              <w:tc>
                <w:tcPr>
                  <w:tcW w:w="2124" w:type="pct"/>
                  <w:vMerge w:val="continue"/>
                </w:tcPr>
                <w:p>
                  <w:pPr>
                    <w:adjustRightInd w:val="0"/>
                    <w:snapToGrid w:val="0"/>
                    <w:jc w:val="center"/>
                    <w:rPr>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90" w:type="pct"/>
                  <w:vAlign w:val="center"/>
                </w:tcPr>
                <w:p>
                  <w:pPr>
                    <w:jc w:val="center"/>
                    <w:rPr>
                      <w:bCs/>
                      <w:szCs w:val="21"/>
                    </w:rPr>
                  </w:pPr>
                  <w:r>
                    <w:rPr>
                      <w:bCs/>
                      <w:szCs w:val="21"/>
                    </w:rPr>
                    <w:t>西</w:t>
                  </w:r>
                </w:p>
              </w:tc>
              <w:tc>
                <w:tcPr>
                  <w:tcW w:w="604" w:type="pct"/>
                  <w:vAlign w:val="center"/>
                </w:tcPr>
                <w:p>
                  <w:pPr>
                    <w:jc w:val="center"/>
                    <w:rPr>
                      <w:bCs/>
                      <w:szCs w:val="21"/>
                    </w:rPr>
                  </w:pPr>
                  <w:r>
                    <w:rPr>
                      <w:rFonts w:hint="eastAsia"/>
                      <w:bCs/>
                      <w:szCs w:val="21"/>
                    </w:rPr>
                    <w:t>48</w:t>
                  </w:r>
                  <w:r>
                    <w:rPr>
                      <w:bCs/>
                      <w:szCs w:val="21"/>
                    </w:rPr>
                    <w:t>.56</w:t>
                  </w:r>
                </w:p>
              </w:tc>
              <w:tc>
                <w:tcPr>
                  <w:tcW w:w="433" w:type="pct"/>
                  <w:vAlign w:val="center"/>
                </w:tcPr>
                <w:p>
                  <w:pPr>
                    <w:jc w:val="center"/>
                    <w:rPr>
                      <w:bCs/>
                      <w:szCs w:val="21"/>
                    </w:rPr>
                  </w:pPr>
                  <w:r>
                    <w:rPr>
                      <w:rFonts w:hint="eastAsia"/>
                      <w:bCs/>
                      <w:szCs w:val="21"/>
                    </w:rPr>
                    <w:t>-</w:t>
                  </w:r>
                </w:p>
              </w:tc>
              <w:tc>
                <w:tcPr>
                  <w:tcW w:w="949" w:type="pct"/>
                  <w:vAlign w:val="center"/>
                </w:tcPr>
                <w:p>
                  <w:pPr>
                    <w:jc w:val="center"/>
                    <w:rPr>
                      <w:bCs/>
                      <w:szCs w:val="21"/>
                    </w:rPr>
                  </w:pPr>
                  <w:r>
                    <w:rPr>
                      <w:bCs/>
                      <w:szCs w:val="21"/>
                    </w:rPr>
                    <w:t>达标</w:t>
                  </w:r>
                </w:p>
              </w:tc>
              <w:tc>
                <w:tcPr>
                  <w:tcW w:w="2124" w:type="pct"/>
                  <w:vMerge w:val="continue"/>
                </w:tcPr>
                <w:p>
                  <w:pPr>
                    <w:adjustRightInd w:val="0"/>
                    <w:snapToGrid w:val="0"/>
                    <w:jc w:val="center"/>
                    <w:rPr>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0" w:type="pct"/>
                  <w:vAlign w:val="center"/>
                </w:tcPr>
                <w:p>
                  <w:pPr>
                    <w:jc w:val="center"/>
                    <w:rPr>
                      <w:bCs/>
                      <w:szCs w:val="21"/>
                    </w:rPr>
                  </w:pPr>
                  <w:r>
                    <w:rPr>
                      <w:bCs/>
                      <w:szCs w:val="21"/>
                    </w:rPr>
                    <w:t>北</w:t>
                  </w:r>
                </w:p>
              </w:tc>
              <w:tc>
                <w:tcPr>
                  <w:tcW w:w="604" w:type="pct"/>
                  <w:vAlign w:val="center"/>
                </w:tcPr>
                <w:p>
                  <w:pPr>
                    <w:jc w:val="center"/>
                    <w:rPr>
                      <w:bCs/>
                      <w:szCs w:val="21"/>
                    </w:rPr>
                  </w:pPr>
                  <w:r>
                    <w:rPr>
                      <w:rFonts w:hint="eastAsia"/>
                      <w:bCs/>
                      <w:szCs w:val="21"/>
                    </w:rPr>
                    <w:t>47</w:t>
                  </w:r>
                  <w:r>
                    <w:rPr>
                      <w:bCs/>
                      <w:szCs w:val="21"/>
                    </w:rPr>
                    <w:t>.45</w:t>
                  </w:r>
                </w:p>
              </w:tc>
              <w:tc>
                <w:tcPr>
                  <w:tcW w:w="433" w:type="pct"/>
                  <w:vAlign w:val="center"/>
                </w:tcPr>
                <w:p>
                  <w:pPr>
                    <w:jc w:val="center"/>
                    <w:rPr>
                      <w:bCs/>
                      <w:szCs w:val="21"/>
                    </w:rPr>
                  </w:pPr>
                  <w:r>
                    <w:rPr>
                      <w:rFonts w:hint="eastAsia"/>
                      <w:bCs/>
                      <w:szCs w:val="21"/>
                    </w:rPr>
                    <w:t>-</w:t>
                  </w:r>
                </w:p>
              </w:tc>
              <w:tc>
                <w:tcPr>
                  <w:tcW w:w="949" w:type="pct"/>
                  <w:vAlign w:val="center"/>
                </w:tcPr>
                <w:p>
                  <w:pPr>
                    <w:jc w:val="center"/>
                    <w:rPr>
                      <w:bCs/>
                      <w:szCs w:val="21"/>
                    </w:rPr>
                  </w:pPr>
                  <w:r>
                    <w:rPr>
                      <w:bCs/>
                      <w:szCs w:val="21"/>
                    </w:rPr>
                    <w:t>达标</w:t>
                  </w:r>
                </w:p>
              </w:tc>
              <w:tc>
                <w:tcPr>
                  <w:tcW w:w="2124" w:type="pct"/>
                  <w:vMerge w:val="continue"/>
                </w:tcPr>
                <w:p>
                  <w:pPr>
                    <w:adjustRightInd w:val="0"/>
                    <w:snapToGrid w:val="0"/>
                    <w:jc w:val="center"/>
                    <w:rPr>
                      <w:sz w:val="24"/>
                      <w:szCs w:val="24"/>
                    </w:rPr>
                  </w:pPr>
                </w:p>
              </w:tc>
            </w:tr>
          </w:tbl>
          <w:p>
            <w:pPr>
              <w:adjustRightInd w:val="0"/>
              <w:snapToGrid w:val="0"/>
              <w:spacing w:beforeLines="50" w:line="360" w:lineRule="auto"/>
              <w:ind w:firstLine="480" w:firstLineChars="200"/>
              <w:rPr>
                <w:sz w:val="24"/>
                <w:szCs w:val="24"/>
              </w:rPr>
            </w:pPr>
            <w:r>
              <w:rPr>
                <w:sz w:val="24"/>
                <w:szCs w:val="24"/>
              </w:rPr>
              <w:t>本项目通过相应的降噪措施和距离衰减后，可使厂界排放噪声满足《工业企业厂界环境噪声值排放标准》（GB12348—2008）</w:t>
            </w:r>
            <w:r>
              <w:rPr>
                <w:rFonts w:hint="eastAsia"/>
                <w:sz w:val="24"/>
                <w:szCs w:val="24"/>
              </w:rPr>
              <w:t>2</w:t>
            </w:r>
            <w:r>
              <w:rPr>
                <w:sz w:val="24"/>
                <w:szCs w:val="24"/>
              </w:rPr>
              <w:t>类标准要求。所以，本项目噪声源对周围环境影响较小。</w:t>
            </w:r>
          </w:p>
          <w:p>
            <w:pPr>
              <w:adjustRightInd w:val="0"/>
              <w:snapToGrid w:val="0"/>
              <w:spacing w:line="360" w:lineRule="auto"/>
              <w:ind w:firstLine="480"/>
              <w:rPr>
                <w:sz w:val="24"/>
                <w:szCs w:val="24"/>
              </w:rPr>
            </w:pPr>
            <w:r>
              <w:rPr>
                <w:sz w:val="24"/>
                <w:szCs w:val="24"/>
              </w:rPr>
              <w:t>为进一步降低厂界噪声对周边环境影响，拟采取降噪措施如下：</w:t>
            </w:r>
            <w:r>
              <w:rPr>
                <w:rFonts w:hint="eastAsia" w:cs="宋体"/>
                <w:sz w:val="24"/>
                <w:szCs w:val="24"/>
              </w:rPr>
              <w:t>①</w:t>
            </w:r>
            <w:r>
              <w:rPr>
                <w:sz w:val="24"/>
                <w:szCs w:val="24"/>
              </w:rPr>
              <w:t>项目按照工业设备安装的有关规范，合理布局；</w:t>
            </w:r>
            <w:r>
              <w:rPr>
                <w:rFonts w:hint="eastAsia" w:cs="宋体"/>
                <w:sz w:val="24"/>
                <w:szCs w:val="24"/>
              </w:rPr>
              <w:t>②</w:t>
            </w:r>
            <w:r>
              <w:rPr>
                <w:sz w:val="24"/>
                <w:szCs w:val="24"/>
              </w:rPr>
              <w:t>各类设备应选用低噪声低振动设备，并在设备和基础底座之间安装减振垫，以减轻振动影响；</w:t>
            </w:r>
            <w:r>
              <w:rPr>
                <w:rFonts w:hint="eastAsia" w:cs="宋体"/>
                <w:sz w:val="24"/>
                <w:szCs w:val="24"/>
              </w:rPr>
              <w:t>③</w:t>
            </w:r>
            <w:r>
              <w:rPr>
                <w:sz w:val="24"/>
                <w:szCs w:val="24"/>
              </w:rPr>
              <w:t>优选选用低噪声设备，设备衔接处、接地处安装减振垫；</w:t>
            </w:r>
            <w:r>
              <w:rPr>
                <w:rFonts w:hint="eastAsia" w:cs="宋体"/>
                <w:sz w:val="24"/>
                <w:szCs w:val="24"/>
              </w:rPr>
              <w:t>④</w:t>
            </w:r>
            <w:r>
              <w:rPr>
                <w:sz w:val="24"/>
                <w:szCs w:val="24"/>
              </w:rPr>
              <w:t>在厂房边境种植草木，利用绿化</w:t>
            </w:r>
            <w:r>
              <w:rPr>
                <w:rFonts w:hint="eastAsia"/>
                <w:sz w:val="24"/>
                <w:szCs w:val="24"/>
              </w:rPr>
              <w:t>对</w:t>
            </w:r>
            <w:r>
              <w:rPr>
                <w:sz w:val="24"/>
                <w:szCs w:val="24"/>
              </w:rPr>
              <w:t>声音的噪声效果，降低噪声源强。</w:t>
            </w:r>
          </w:p>
          <w:p>
            <w:pPr>
              <w:adjustRightInd w:val="0"/>
              <w:snapToGrid w:val="0"/>
              <w:spacing w:line="360" w:lineRule="auto"/>
              <w:ind w:firstLine="480" w:firstLineChars="200"/>
              <w:rPr>
                <w:rStyle w:val="38"/>
                <w:sz w:val="24"/>
                <w:szCs w:val="24"/>
              </w:rPr>
            </w:pPr>
            <w:r>
              <w:rPr>
                <w:rStyle w:val="38"/>
                <w:sz w:val="24"/>
                <w:szCs w:val="24"/>
              </w:rPr>
              <w:t>4</w:t>
            </w:r>
            <w:r>
              <w:rPr>
                <w:rStyle w:val="38"/>
                <w:rFonts w:hint="eastAsia"/>
                <w:sz w:val="24"/>
                <w:szCs w:val="24"/>
              </w:rPr>
              <w:t>、</w:t>
            </w:r>
            <w:r>
              <w:rPr>
                <w:rStyle w:val="38"/>
                <w:sz w:val="24"/>
                <w:szCs w:val="24"/>
              </w:rPr>
              <w:t>固体废弃物</w:t>
            </w:r>
          </w:p>
          <w:p>
            <w:pPr>
              <w:adjustRightInd w:val="0"/>
              <w:snapToGrid w:val="0"/>
              <w:spacing w:line="360" w:lineRule="auto"/>
              <w:ind w:firstLine="480" w:firstLineChars="200"/>
              <w:rPr>
                <w:rFonts w:hAnsi="宋体"/>
                <w:sz w:val="24"/>
                <w:szCs w:val="24"/>
              </w:rPr>
            </w:pPr>
            <w:r>
              <w:rPr>
                <w:rFonts w:hint="eastAsia"/>
                <w:sz w:val="24"/>
                <w:szCs w:val="24"/>
              </w:rPr>
              <w:t>本项目产生的</w:t>
            </w:r>
            <w:r>
              <w:rPr>
                <w:rFonts w:hint="eastAsia" w:hAnsi="宋体"/>
                <w:sz w:val="24"/>
                <w:szCs w:val="24"/>
              </w:rPr>
              <w:t>固废主要为废包装袋、生活垃圾和收集的粉尘。</w:t>
            </w:r>
          </w:p>
          <w:p>
            <w:pPr>
              <w:adjustRightInd w:val="0"/>
              <w:snapToGrid w:val="0"/>
              <w:spacing w:line="360" w:lineRule="auto"/>
              <w:ind w:firstLine="480" w:firstLineChars="200"/>
              <w:rPr>
                <w:rFonts w:hAnsi="Calibri"/>
                <w:sz w:val="24"/>
                <w:szCs w:val="24"/>
              </w:rPr>
            </w:pPr>
            <w:r>
              <w:rPr>
                <w:rFonts w:hint="eastAsia" w:ascii="宋体" w:hAnsi="宋体"/>
                <w:sz w:val="24"/>
                <w:szCs w:val="24"/>
              </w:rPr>
              <w:t>①</w:t>
            </w:r>
            <w:r>
              <w:rPr>
                <w:rFonts w:hint="eastAsia" w:hAnsi="宋体"/>
                <w:sz w:val="24"/>
                <w:szCs w:val="24"/>
              </w:rPr>
              <w:t>废包装袋</w:t>
            </w:r>
            <w:r>
              <w:rPr>
                <w:rFonts w:hint="eastAsia"/>
                <w:sz w:val="24"/>
                <w:szCs w:val="24"/>
              </w:rPr>
              <w:t>：本项目废包装主要为原料包装袋，木粉包装袋产量为0.5</w:t>
            </w:r>
            <w:r>
              <w:rPr>
                <w:sz w:val="24"/>
                <w:szCs w:val="24"/>
              </w:rPr>
              <w:t>t/a</w:t>
            </w:r>
            <w:r>
              <w:rPr>
                <w:rFonts w:hint="eastAsia"/>
                <w:sz w:val="24"/>
                <w:szCs w:val="24"/>
              </w:rPr>
              <w:t>，双氧水是整车采购储存在不锈钢储存罐内，没有废包装产生</w:t>
            </w:r>
            <w:r>
              <w:rPr>
                <w:rFonts w:hint="eastAsia"/>
                <w:sz w:val="24"/>
                <w:szCs w:val="21"/>
              </w:rPr>
              <w:t>。废包装属于一般固废，收集后外售。</w:t>
            </w:r>
          </w:p>
          <w:p>
            <w:pPr>
              <w:adjustRightInd w:val="0"/>
              <w:snapToGrid w:val="0"/>
              <w:spacing w:line="360" w:lineRule="auto"/>
              <w:ind w:firstLine="480" w:firstLineChars="200"/>
              <w:rPr>
                <w:sz w:val="24"/>
                <w:szCs w:val="24"/>
              </w:rPr>
            </w:pPr>
            <w:r>
              <w:rPr>
                <w:rFonts w:hint="eastAsia" w:ascii="宋体" w:hAnsi="宋体"/>
                <w:sz w:val="24"/>
                <w:szCs w:val="24"/>
              </w:rPr>
              <w:t>②</w:t>
            </w:r>
            <w:r>
              <w:rPr>
                <w:rFonts w:hint="eastAsia"/>
                <w:sz w:val="24"/>
                <w:szCs w:val="24"/>
              </w:rPr>
              <w:t>生活垃圾：项目劳动定员5人，年工作280天，生活垃圾按</w:t>
            </w:r>
            <w:r>
              <w:rPr>
                <w:sz w:val="24"/>
                <w:szCs w:val="24"/>
              </w:rPr>
              <w:t>0.5kg/</w:t>
            </w:r>
            <w:r>
              <w:rPr>
                <w:rFonts w:hint="eastAsia"/>
                <w:sz w:val="24"/>
                <w:szCs w:val="24"/>
              </w:rPr>
              <w:t>人</w:t>
            </w:r>
            <w:r>
              <w:rPr>
                <w:sz w:val="24"/>
                <w:szCs w:val="24"/>
              </w:rPr>
              <w:t>·d</w:t>
            </w:r>
            <w:r>
              <w:rPr>
                <w:rFonts w:hint="eastAsia"/>
                <w:sz w:val="24"/>
                <w:szCs w:val="24"/>
              </w:rPr>
              <w:t>算，产生量0.7</w:t>
            </w:r>
            <w:r>
              <w:rPr>
                <w:sz w:val="24"/>
                <w:szCs w:val="24"/>
              </w:rPr>
              <w:t>t/a</w:t>
            </w:r>
            <w:r>
              <w:rPr>
                <w:rFonts w:hint="eastAsia"/>
                <w:sz w:val="24"/>
                <w:szCs w:val="24"/>
              </w:rPr>
              <w:t>，由环卫部门清运。</w:t>
            </w:r>
          </w:p>
          <w:p>
            <w:pPr>
              <w:pStyle w:val="136"/>
              <w:ind w:firstLine="480"/>
            </w:pPr>
            <w:r>
              <w:rPr>
                <w:rFonts w:hint="eastAsia" w:ascii="宋体" w:hAnsi="宋体"/>
              </w:rPr>
              <w:t>③</w:t>
            </w:r>
            <w:r>
              <w:rPr>
                <w:rFonts w:hint="eastAsia"/>
              </w:rPr>
              <w:t>收集的粉尘：本项目筛分过程中会产生粉尘，筛分粉尘有组织产生量为2.7t/a，拟采取脉冲布袋除尘器处理，处理效率为99%，则收集的粉尘量为2.673t/a，由企业收集后外售处理。</w:t>
            </w:r>
          </w:p>
          <w:p>
            <w:pPr>
              <w:adjustRightInd w:val="0"/>
              <w:snapToGrid w:val="0"/>
              <w:jc w:val="center"/>
              <w:rPr>
                <w:b/>
                <w:sz w:val="24"/>
                <w:szCs w:val="24"/>
              </w:rPr>
            </w:pPr>
            <w:r>
              <w:rPr>
                <w:b/>
                <w:sz w:val="24"/>
                <w:szCs w:val="24"/>
              </w:rPr>
              <w:t>表</w:t>
            </w:r>
            <w:r>
              <w:rPr>
                <w:rFonts w:hint="eastAsia"/>
                <w:b/>
                <w:sz w:val="24"/>
                <w:szCs w:val="24"/>
              </w:rPr>
              <w:t>7</w:t>
            </w:r>
            <w:r>
              <w:rPr>
                <w:b/>
                <w:sz w:val="24"/>
                <w:szCs w:val="24"/>
              </w:rPr>
              <w:t>-</w:t>
            </w:r>
            <w:r>
              <w:rPr>
                <w:rFonts w:hint="eastAsia"/>
                <w:b/>
                <w:sz w:val="24"/>
                <w:szCs w:val="24"/>
              </w:rPr>
              <w:t xml:space="preserve">14  </w:t>
            </w:r>
            <w:r>
              <w:rPr>
                <w:b/>
                <w:sz w:val="24"/>
                <w:szCs w:val="24"/>
              </w:rPr>
              <w:t>建设项目</w:t>
            </w:r>
            <w:r>
              <w:rPr>
                <w:rFonts w:hint="eastAsia"/>
                <w:b/>
                <w:sz w:val="24"/>
                <w:szCs w:val="24"/>
              </w:rPr>
              <w:t>固废产生情况</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272"/>
              <w:gridCol w:w="905"/>
              <w:gridCol w:w="566"/>
              <w:gridCol w:w="708"/>
              <w:gridCol w:w="425"/>
              <w:gridCol w:w="709"/>
              <w:gridCol w:w="850"/>
              <w:gridCol w:w="568"/>
              <w:gridCol w:w="566"/>
              <w:gridCol w:w="995"/>
              <w:gridCol w:w="708"/>
              <w:gridCol w:w="934"/>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16" w:hRule="atLeast"/>
                <w:jc w:val="center"/>
              </w:trPr>
              <w:tc>
                <w:tcPr>
                  <w:tcW w:w="166" w:type="pct"/>
                  <w:vAlign w:val="center"/>
                </w:tcPr>
                <w:p>
                  <w:pPr>
                    <w:ind w:left="-105" w:leftChars="-50" w:right="-105" w:rightChars="-50"/>
                    <w:jc w:val="center"/>
                    <w:rPr>
                      <w:b/>
                      <w:szCs w:val="21"/>
                    </w:rPr>
                  </w:pPr>
                  <w:r>
                    <w:rPr>
                      <w:b/>
                      <w:szCs w:val="21"/>
                    </w:rPr>
                    <w:t>序号</w:t>
                  </w:r>
                </w:p>
              </w:tc>
              <w:tc>
                <w:tcPr>
                  <w:tcW w:w="551" w:type="pct"/>
                  <w:vAlign w:val="center"/>
                </w:tcPr>
                <w:p>
                  <w:pPr>
                    <w:ind w:left="-105" w:leftChars="-50" w:right="-105" w:rightChars="-50"/>
                    <w:jc w:val="center"/>
                    <w:rPr>
                      <w:b/>
                      <w:szCs w:val="21"/>
                    </w:rPr>
                  </w:pPr>
                  <w:r>
                    <w:rPr>
                      <w:b/>
                      <w:szCs w:val="21"/>
                    </w:rPr>
                    <w:t>名称</w:t>
                  </w:r>
                </w:p>
              </w:tc>
              <w:tc>
                <w:tcPr>
                  <w:tcW w:w="345" w:type="pct"/>
                  <w:vAlign w:val="center"/>
                </w:tcPr>
                <w:p>
                  <w:pPr>
                    <w:ind w:left="-105" w:leftChars="-50" w:right="-105" w:rightChars="-50"/>
                    <w:jc w:val="center"/>
                    <w:rPr>
                      <w:b/>
                      <w:szCs w:val="21"/>
                    </w:rPr>
                  </w:pPr>
                  <w:r>
                    <w:rPr>
                      <w:b/>
                      <w:szCs w:val="21"/>
                    </w:rPr>
                    <w:t>属性</w:t>
                  </w:r>
                </w:p>
              </w:tc>
              <w:tc>
                <w:tcPr>
                  <w:tcW w:w="431" w:type="pct"/>
                  <w:vAlign w:val="center"/>
                </w:tcPr>
                <w:p>
                  <w:pPr>
                    <w:ind w:left="-105" w:leftChars="-50" w:right="-105" w:rightChars="-50"/>
                    <w:jc w:val="center"/>
                    <w:rPr>
                      <w:b/>
                      <w:szCs w:val="21"/>
                    </w:rPr>
                  </w:pPr>
                  <w:r>
                    <w:rPr>
                      <w:b/>
                      <w:szCs w:val="21"/>
                    </w:rPr>
                    <w:t>产生工序</w:t>
                  </w:r>
                </w:p>
              </w:tc>
              <w:tc>
                <w:tcPr>
                  <w:tcW w:w="259" w:type="pct"/>
                  <w:vAlign w:val="center"/>
                </w:tcPr>
                <w:p>
                  <w:pPr>
                    <w:ind w:left="-105" w:leftChars="-50" w:right="-105" w:rightChars="-50"/>
                    <w:jc w:val="center"/>
                    <w:rPr>
                      <w:b/>
                      <w:szCs w:val="21"/>
                    </w:rPr>
                  </w:pPr>
                  <w:r>
                    <w:rPr>
                      <w:b/>
                      <w:szCs w:val="21"/>
                    </w:rPr>
                    <w:t>形态</w:t>
                  </w:r>
                </w:p>
              </w:tc>
              <w:tc>
                <w:tcPr>
                  <w:tcW w:w="432" w:type="pct"/>
                  <w:vAlign w:val="center"/>
                </w:tcPr>
                <w:p>
                  <w:pPr>
                    <w:ind w:left="-105" w:leftChars="-50" w:right="-105" w:rightChars="-50"/>
                    <w:jc w:val="center"/>
                    <w:rPr>
                      <w:b/>
                      <w:szCs w:val="21"/>
                    </w:rPr>
                  </w:pPr>
                  <w:r>
                    <w:rPr>
                      <w:b/>
                      <w:szCs w:val="21"/>
                    </w:rPr>
                    <w:t>主要成分</w:t>
                  </w:r>
                </w:p>
              </w:tc>
              <w:tc>
                <w:tcPr>
                  <w:tcW w:w="518" w:type="pct"/>
                  <w:vAlign w:val="center"/>
                </w:tcPr>
                <w:p>
                  <w:pPr>
                    <w:ind w:left="-105" w:leftChars="-50" w:right="-105" w:rightChars="-50"/>
                    <w:jc w:val="center"/>
                    <w:rPr>
                      <w:b/>
                      <w:szCs w:val="21"/>
                    </w:rPr>
                  </w:pPr>
                  <w:r>
                    <w:rPr>
                      <w:b/>
                      <w:szCs w:val="21"/>
                    </w:rPr>
                    <w:t>危险特性鉴别方法</w:t>
                  </w:r>
                </w:p>
              </w:tc>
              <w:tc>
                <w:tcPr>
                  <w:tcW w:w="346" w:type="pct"/>
                  <w:vAlign w:val="center"/>
                </w:tcPr>
                <w:p>
                  <w:pPr>
                    <w:ind w:left="-105" w:leftChars="-50" w:right="-105" w:rightChars="-50"/>
                    <w:jc w:val="center"/>
                    <w:rPr>
                      <w:b/>
                      <w:szCs w:val="21"/>
                    </w:rPr>
                  </w:pPr>
                  <w:r>
                    <w:rPr>
                      <w:b/>
                      <w:szCs w:val="21"/>
                    </w:rPr>
                    <w:t>危险特性</w:t>
                  </w:r>
                </w:p>
              </w:tc>
              <w:tc>
                <w:tcPr>
                  <w:tcW w:w="345" w:type="pct"/>
                  <w:vAlign w:val="center"/>
                </w:tcPr>
                <w:p>
                  <w:pPr>
                    <w:ind w:left="-105" w:leftChars="-50" w:right="-105" w:rightChars="-50"/>
                    <w:jc w:val="center"/>
                    <w:rPr>
                      <w:b/>
                      <w:szCs w:val="21"/>
                    </w:rPr>
                  </w:pPr>
                  <w:r>
                    <w:rPr>
                      <w:b/>
                      <w:szCs w:val="21"/>
                    </w:rPr>
                    <w:t>废物类别</w:t>
                  </w:r>
                </w:p>
              </w:tc>
              <w:tc>
                <w:tcPr>
                  <w:tcW w:w="606" w:type="pct"/>
                  <w:vAlign w:val="center"/>
                </w:tcPr>
                <w:p>
                  <w:pPr>
                    <w:ind w:left="-105" w:leftChars="-50" w:right="-105" w:rightChars="-50"/>
                    <w:jc w:val="center"/>
                    <w:rPr>
                      <w:b/>
                      <w:szCs w:val="21"/>
                    </w:rPr>
                  </w:pPr>
                  <w:r>
                    <w:rPr>
                      <w:b/>
                      <w:szCs w:val="21"/>
                    </w:rPr>
                    <w:t>废物代码</w:t>
                  </w:r>
                </w:p>
              </w:tc>
              <w:tc>
                <w:tcPr>
                  <w:tcW w:w="431" w:type="pct"/>
                  <w:vAlign w:val="center"/>
                </w:tcPr>
                <w:p>
                  <w:pPr>
                    <w:ind w:left="-105" w:leftChars="-50" w:right="-105" w:rightChars="-50"/>
                    <w:jc w:val="center"/>
                    <w:rPr>
                      <w:b/>
                      <w:szCs w:val="21"/>
                    </w:rPr>
                  </w:pPr>
                  <w:r>
                    <w:rPr>
                      <w:b/>
                      <w:szCs w:val="21"/>
                    </w:rPr>
                    <w:t>产生量（t/a）</w:t>
                  </w:r>
                </w:p>
              </w:tc>
              <w:tc>
                <w:tcPr>
                  <w:tcW w:w="569" w:type="pct"/>
                  <w:vAlign w:val="center"/>
                </w:tcPr>
                <w:p>
                  <w:pPr>
                    <w:ind w:left="-105" w:leftChars="-50" w:right="-105" w:rightChars="-50"/>
                    <w:jc w:val="center"/>
                    <w:rPr>
                      <w:b/>
                      <w:szCs w:val="21"/>
                    </w:rPr>
                  </w:pPr>
                  <w:r>
                    <w:rPr>
                      <w:rFonts w:hint="eastAsia" w:ascii="宋体"/>
                      <w:b/>
                      <w:szCs w:val="21"/>
                    </w:rPr>
                    <w:t>处置方式</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37" w:hRule="atLeast"/>
                <w:jc w:val="center"/>
              </w:trPr>
              <w:tc>
                <w:tcPr>
                  <w:tcW w:w="166" w:type="pct"/>
                  <w:vAlign w:val="center"/>
                </w:tcPr>
                <w:p>
                  <w:pPr>
                    <w:ind w:left="-105" w:leftChars="-50" w:right="-105" w:rightChars="-50"/>
                    <w:jc w:val="center"/>
                    <w:rPr>
                      <w:szCs w:val="21"/>
                    </w:rPr>
                  </w:pPr>
                  <w:r>
                    <w:rPr>
                      <w:szCs w:val="21"/>
                    </w:rPr>
                    <w:t>1</w:t>
                  </w:r>
                </w:p>
              </w:tc>
              <w:tc>
                <w:tcPr>
                  <w:tcW w:w="551" w:type="pct"/>
                  <w:vAlign w:val="center"/>
                </w:tcPr>
                <w:p>
                  <w:pPr>
                    <w:jc w:val="center"/>
                    <w:rPr>
                      <w:szCs w:val="21"/>
                    </w:rPr>
                  </w:pPr>
                  <w:r>
                    <w:rPr>
                      <w:rFonts w:hint="eastAsia"/>
                      <w:szCs w:val="21"/>
                    </w:rPr>
                    <w:t>废包装袋</w:t>
                  </w:r>
                </w:p>
              </w:tc>
              <w:tc>
                <w:tcPr>
                  <w:tcW w:w="345" w:type="pct"/>
                  <w:vAlign w:val="center"/>
                </w:tcPr>
                <w:p>
                  <w:pPr>
                    <w:ind w:left="-105" w:leftChars="-50" w:right="-105" w:rightChars="-50"/>
                    <w:jc w:val="center"/>
                    <w:rPr>
                      <w:szCs w:val="21"/>
                    </w:rPr>
                  </w:pPr>
                  <w:r>
                    <w:rPr>
                      <w:szCs w:val="21"/>
                    </w:rPr>
                    <w:t>一般固废</w:t>
                  </w:r>
                </w:p>
              </w:tc>
              <w:tc>
                <w:tcPr>
                  <w:tcW w:w="431" w:type="pct"/>
                  <w:vAlign w:val="center"/>
                </w:tcPr>
                <w:p>
                  <w:pPr>
                    <w:jc w:val="center"/>
                    <w:rPr>
                      <w:szCs w:val="21"/>
                    </w:rPr>
                  </w:pPr>
                  <w:r>
                    <w:rPr>
                      <w:rFonts w:hint="eastAsia"/>
                      <w:szCs w:val="21"/>
                    </w:rPr>
                    <w:t>原料拆包</w:t>
                  </w:r>
                </w:p>
              </w:tc>
              <w:tc>
                <w:tcPr>
                  <w:tcW w:w="259" w:type="pct"/>
                  <w:vAlign w:val="center"/>
                </w:tcPr>
                <w:p>
                  <w:pPr>
                    <w:ind w:left="-105" w:leftChars="-50" w:right="-105" w:rightChars="-50"/>
                    <w:jc w:val="center"/>
                    <w:rPr>
                      <w:szCs w:val="21"/>
                    </w:rPr>
                  </w:pPr>
                  <w:r>
                    <w:rPr>
                      <w:szCs w:val="21"/>
                    </w:rPr>
                    <w:t>固</w:t>
                  </w:r>
                </w:p>
              </w:tc>
              <w:tc>
                <w:tcPr>
                  <w:tcW w:w="432" w:type="pct"/>
                  <w:vAlign w:val="center"/>
                </w:tcPr>
                <w:p>
                  <w:pPr>
                    <w:jc w:val="center"/>
                    <w:rPr>
                      <w:szCs w:val="21"/>
                    </w:rPr>
                  </w:pPr>
                  <w:r>
                    <w:rPr>
                      <w:rFonts w:hint="eastAsia"/>
                      <w:szCs w:val="21"/>
                    </w:rPr>
                    <w:t>塑料</w:t>
                  </w:r>
                </w:p>
              </w:tc>
              <w:tc>
                <w:tcPr>
                  <w:tcW w:w="518" w:type="pct"/>
                  <w:vAlign w:val="center"/>
                </w:tcPr>
                <w:p>
                  <w:pPr>
                    <w:ind w:left="-105" w:leftChars="-50" w:right="-105" w:rightChars="-50"/>
                    <w:jc w:val="center"/>
                    <w:rPr>
                      <w:szCs w:val="21"/>
                    </w:rPr>
                  </w:pPr>
                  <w:r>
                    <w:rPr>
                      <w:szCs w:val="21"/>
                    </w:rPr>
                    <w:t>-</w:t>
                  </w:r>
                </w:p>
              </w:tc>
              <w:tc>
                <w:tcPr>
                  <w:tcW w:w="346" w:type="pct"/>
                  <w:vAlign w:val="center"/>
                </w:tcPr>
                <w:p>
                  <w:pPr>
                    <w:ind w:left="-105" w:leftChars="-50" w:right="-105" w:rightChars="-50"/>
                    <w:jc w:val="center"/>
                    <w:rPr>
                      <w:szCs w:val="21"/>
                    </w:rPr>
                  </w:pPr>
                  <w:r>
                    <w:rPr>
                      <w:szCs w:val="21"/>
                    </w:rPr>
                    <w:t>-</w:t>
                  </w:r>
                </w:p>
              </w:tc>
              <w:tc>
                <w:tcPr>
                  <w:tcW w:w="345" w:type="pct"/>
                  <w:vAlign w:val="center"/>
                </w:tcPr>
                <w:p>
                  <w:pPr>
                    <w:ind w:left="-105" w:leftChars="-50" w:right="-105" w:rightChars="-50"/>
                    <w:jc w:val="center"/>
                    <w:rPr>
                      <w:szCs w:val="21"/>
                    </w:rPr>
                  </w:pPr>
                  <w:r>
                    <w:rPr>
                      <w:szCs w:val="21"/>
                    </w:rPr>
                    <w:t>-</w:t>
                  </w:r>
                </w:p>
              </w:tc>
              <w:tc>
                <w:tcPr>
                  <w:tcW w:w="606" w:type="pct"/>
                  <w:vAlign w:val="center"/>
                </w:tcPr>
                <w:p>
                  <w:pPr>
                    <w:ind w:left="-105" w:leftChars="-50" w:right="-105" w:rightChars="-50"/>
                    <w:jc w:val="center"/>
                    <w:rPr>
                      <w:szCs w:val="21"/>
                    </w:rPr>
                  </w:pPr>
                  <w:r>
                    <w:rPr>
                      <w:rFonts w:hint="eastAsia"/>
                      <w:szCs w:val="21"/>
                    </w:rPr>
                    <w:t>86</w:t>
                  </w:r>
                </w:p>
              </w:tc>
              <w:tc>
                <w:tcPr>
                  <w:tcW w:w="431" w:type="pct"/>
                  <w:vAlign w:val="center"/>
                </w:tcPr>
                <w:p>
                  <w:pPr>
                    <w:autoSpaceDE w:val="0"/>
                    <w:autoSpaceDN w:val="0"/>
                    <w:ind w:left="-50" w:right="-50"/>
                    <w:jc w:val="center"/>
                    <w:rPr>
                      <w:szCs w:val="21"/>
                    </w:rPr>
                  </w:pPr>
                  <w:r>
                    <w:rPr>
                      <w:rFonts w:hint="eastAsia"/>
                      <w:szCs w:val="21"/>
                    </w:rPr>
                    <w:t>0.5</w:t>
                  </w:r>
                </w:p>
              </w:tc>
              <w:tc>
                <w:tcPr>
                  <w:tcW w:w="569" w:type="pct"/>
                  <w:vAlign w:val="center"/>
                </w:tcPr>
                <w:p>
                  <w:pPr>
                    <w:ind w:left="-50" w:right="-50"/>
                    <w:jc w:val="center"/>
                    <w:rPr>
                      <w:szCs w:val="21"/>
                    </w:rPr>
                  </w:pPr>
                  <w:r>
                    <w:rPr>
                      <w:rFonts w:hint="eastAsia"/>
                      <w:szCs w:val="21"/>
                    </w:rPr>
                    <w:t>外售</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37" w:hRule="atLeast"/>
                <w:jc w:val="center"/>
              </w:trPr>
              <w:tc>
                <w:tcPr>
                  <w:tcW w:w="166" w:type="pct"/>
                  <w:vAlign w:val="center"/>
                </w:tcPr>
                <w:p>
                  <w:pPr>
                    <w:ind w:left="-105" w:leftChars="-50" w:right="-105" w:rightChars="-50"/>
                    <w:jc w:val="center"/>
                    <w:rPr>
                      <w:szCs w:val="21"/>
                    </w:rPr>
                  </w:pPr>
                  <w:r>
                    <w:rPr>
                      <w:rFonts w:hint="eastAsia"/>
                      <w:szCs w:val="21"/>
                    </w:rPr>
                    <w:t>2</w:t>
                  </w:r>
                </w:p>
              </w:tc>
              <w:tc>
                <w:tcPr>
                  <w:tcW w:w="551" w:type="pct"/>
                  <w:vAlign w:val="center"/>
                </w:tcPr>
                <w:p>
                  <w:pPr>
                    <w:jc w:val="center"/>
                    <w:rPr>
                      <w:szCs w:val="21"/>
                    </w:rPr>
                  </w:pPr>
                  <w:r>
                    <w:rPr>
                      <w:rFonts w:hint="eastAsia"/>
                      <w:szCs w:val="21"/>
                    </w:rPr>
                    <w:t>除尘器收集的粉尘</w:t>
                  </w:r>
                </w:p>
              </w:tc>
              <w:tc>
                <w:tcPr>
                  <w:tcW w:w="345" w:type="pct"/>
                  <w:vAlign w:val="center"/>
                </w:tcPr>
                <w:p>
                  <w:pPr>
                    <w:ind w:left="-105" w:leftChars="-50" w:right="-105" w:rightChars="-50"/>
                    <w:jc w:val="center"/>
                    <w:rPr>
                      <w:szCs w:val="21"/>
                    </w:rPr>
                  </w:pPr>
                  <w:r>
                    <w:rPr>
                      <w:szCs w:val="21"/>
                    </w:rPr>
                    <w:t>一般固废</w:t>
                  </w:r>
                </w:p>
              </w:tc>
              <w:tc>
                <w:tcPr>
                  <w:tcW w:w="431" w:type="pct"/>
                  <w:vAlign w:val="center"/>
                </w:tcPr>
                <w:p>
                  <w:pPr>
                    <w:jc w:val="center"/>
                    <w:rPr>
                      <w:szCs w:val="21"/>
                    </w:rPr>
                  </w:pPr>
                  <w:r>
                    <w:rPr>
                      <w:rFonts w:hint="eastAsia"/>
                      <w:szCs w:val="21"/>
                    </w:rPr>
                    <w:t>废气处理</w:t>
                  </w:r>
                </w:p>
              </w:tc>
              <w:tc>
                <w:tcPr>
                  <w:tcW w:w="259" w:type="pct"/>
                  <w:vAlign w:val="center"/>
                </w:tcPr>
                <w:p>
                  <w:pPr>
                    <w:ind w:left="-105" w:leftChars="-50" w:right="-105" w:rightChars="-50"/>
                    <w:jc w:val="center"/>
                    <w:rPr>
                      <w:szCs w:val="21"/>
                    </w:rPr>
                  </w:pPr>
                  <w:r>
                    <w:rPr>
                      <w:rFonts w:hint="eastAsia"/>
                      <w:szCs w:val="21"/>
                    </w:rPr>
                    <w:t>固</w:t>
                  </w:r>
                </w:p>
              </w:tc>
              <w:tc>
                <w:tcPr>
                  <w:tcW w:w="432" w:type="pct"/>
                  <w:vAlign w:val="center"/>
                </w:tcPr>
                <w:p>
                  <w:pPr>
                    <w:jc w:val="center"/>
                    <w:rPr>
                      <w:szCs w:val="21"/>
                    </w:rPr>
                  </w:pPr>
                  <w:r>
                    <w:rPr>
                      <w:rFonts w:hint="eastAsia"/>
                      <w:szCs w:val="21"/>
                    </w:rPr>
                    <w:t>粉尘</w:t>
                  </w:r>
                </w:p>
              </w:tc>
              <w:tc>
                <w:tcPr>
                  <w:tcW w:w="518" w:type="pct"/>
                  <w:vAlign w:val="center"/>
                </w:tcPr>
                <w:p>
                  <w:pPr>
                    <w:ind w:left="-105" w:leftChars="-50" w:right="-105" w:rightChars="-50"/>
                    <w:jc w:val="center"/>
                    <w:rPr>
                      <w:szCs w:val="21"/>
                    </w:rPr>
                  </w:pPr>
                  <w:r>
                    <w:rPr>
                      <w:szCs w:val="21"/>
                    </w:rPr>
                    <w:t>-</w:t>
                  </w:r>
                </w:p>
              </w:tc>
              <w:tc>
                <w:tcPr>
                  <w:tcW w:w="346" w:type="pct"/>
                  <w:vAlign w:val="center"/>
                </w:tcPr>
                <w:p>
                  <w:pPr>
                    <w:ind w:left="-105" w:leftChars="-50" w:right="-105" w:rightChars="-50"/>
                    <w:jc w:val="center"/>
                    <w:rPr>
                      <w:szCs w:val="21"/>
                    </w:rPr>
                  </w:pPr>
                  <w:r>
                    <w:rPr>
                      <w:szCs w:val="21"/>
                    </w:rPr>
                    <w:t>-</w:t>
                  </w:r>
                </w:p>
              </w:tc>
              <w:tc>
                <w:tcPr>
                  <w:tcW w:w="345" w:type="pct"/>
                  <w:vAlign w:val="center"/>
                </w:tcPr>
                <w:p>
                  <w:pPr>
                    <w:ind w:left="-105" w:leftChars="-50" w:right="-105" w:rightChars="-50"/>
                    <w:jc w:val="center"/>
                    <w:rPr>
                      <w:szCs w:val="21"/>
                    </w:rPr>
                  </w:pPr>
                  <w:r>
                    <w:rPr>
                      <w:szCs w:val="21"/>
                    </w:rPr>
                    <w:t>-</w:t>
                  </w:r>
                </w:p>
              </w:tc>
              <w:tc>
                <w:tcPr>
                  <w:tcW w:w="606" w:type="pct"/>
                  <w:vAlign w:val="center"/>
                </w:tcPr>
                <w:p>
                  <w:pPr>
                    <w:ind w:left="-105" w:leftChars="-50" w:right="-105" w:rightChars="-50"/>
                    <w:jc w:val="center"/>
                    <w:rPr>
                      <w:szCs w:val="21"/>
                    </w:rPr>
                  </w:pPr>
                  <w:r>
                    <w:rPr>
                      <w:rFonts w:hint="eastAsia"/>
                      <w:szCs w:val="21"/>
                    </w:rPr>
                    <w:t>84</w:t>
                  </w:r>
                </w:p>
              </w:tc>
              <w:tc>
                <w:tcPr>
                  <w:tcW w:w="431" w:type="pct"/>
                  <w:vAlign w:val="center"/>
                </w:tcPr>
                <w:p>
                  <w:pPr>
                    <w:autoSpaceDE w:val="0"/>
                    <w:autoSpaceDN w:val="0"/>
                    <w:ind w:left="-50" w:right="-50"/>
                    <w:jc w:val="center"/>
                    <w:rPr>
                      <w:szCs w:val="21"/>
                    </w:rPr>
                  </w:pPr>
                  <w:r>
                    <w:rPr>
                      <w:rFonts w:hint="eastAsia"/>
                      <w:szCs w:val="21"/>
                    </w:rPr>
                    <w:t>2.673</w:t>
                  </w:r>
                </w:p>
              </w:tc>
              <w:tc>
                <w:tcPr>
                  <w:tcW w:w="569" w:type="pct"/>
                  <w:vAlign w:val="center"/>
                </w:tcPr>
                <w:p>
                  <w:pPr>
                    <w:ind w:left="-50" w:right="-50"/>
                    <w:jc w:val="center"/>
                    <w:rPr>
                      <w:szCs w:val="21"/>
                    </w:rPr>
                  </w:pPr>
                  <w:r>
                    <w:rPr>
                      <w:rFonts w:hint="eastAsia"/>
                      <w:szCs w:val="21"/>
                    </w:rPr>
                    <w:t>外售</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37" w:hRule="atLeast"/>
                <w:jc w:val="center"/>
              </w:trPr>
              <w:tc>
                <w:tcPr>
                  <w:tcW w:w="166" w:type="pct"/>
                  <w:vAlign w:val="center"/>
                </w:tcPr>
                <w:p>
                  <w:pPr>
                    <w:ind w:left="-105" w:leftChars="-50" w:right="-105" w:rightChars="-50"/>
                    <w:jc w:val="center"/>
                    <w:rPr>
                      <w:szCs w:val="21"/>
                    </w:rPr>
                  </w:pPr>
                  <w:r>
                    <w:rPr>
                      <w:rFonts w:hint="eastAsia"/>
                      <w:szCs w:val="21"/>
                    </w:rPr>
                    <w:t>3</w:t>
                  </w:r>
                </w:p>
              </w:tc>
              <w:tc>
                <w:tcPr>
                  <w:tcW w:w="551" w:type="pct"/>
                  <w:vAlign w:val="center"/>
                </w:tcPr>
                <w:p>
                  <w:pPr>
                    <w:jc w:val="center"/>
                    <w:rPr>
                      <w:szCs w:val="21"/>
                    </w:rPr>
                  </w:pPr>
                  <w:r>
                    <w:rPr>
                      <w:rFonts w:hint="eastAsia"/>
                      <w:szCs w:val="21"/>
                    </w:rPr>
                    <w:t>生活垃圾</w:t>
                  </w:r>
                </w:p>
              </w:tc>
              <w:tc>
                <w:tcPr>
                  <w:tcW w:w="345" w:type="pct"/>
                  <w:vAlign w:val="center"/>
                </w:tcPr>
                <w:p>
                  <w:pPr>
                    <w:ind w:left="-105" w:leftChars="-50" w:right="-105" w:rightChars="-50"/>
                    <w:jc w:val="center"/>
                    <w:rPr>
                      <w:szCs w:val="21"/>
                    </w:rPr>
                  </w:pPr>
                  <w:r>
                    <w:rPr>
                      <w:szCs w:val="21"/>
                    </w:rPr>
                    <w:t>一般固废</w:t>
                  </w:r>
                </w:p>
              </w:tc>
              <w:tc>
                <w:tcPr>
                  <w:tcW w:w="431" w:type="pct"/>
                  <w:vAlign w:val="center"/>
                </w:tcPr>
                <w:p>
                  <w:pPr>
                    <w:jc w:val="center"/>
                    <w:rPr>
                      <w:szCs w:val="21"/>
                    </w:rPr>
                  </w:pPr>
                  <w:r>
                    <w:rPr>
                      <w:rFonts w:hint="eastAsia"/>
                      <w:szCs w:val="21"/>
                    </w:rPr>
                    <w:t>员工日常生活</w:t>
                  </w:r>
                </w:p>
              </w:tc>
              <w:tc>
                <w:tcPr>
                  <w:tcW w:w="259" w:type="pct"/>
                  <w:vAlign w:val="center"/>
                </w:tcPr>
                <w:p>
                  <w:pPr>
                    <w:ind w:left="-105" w:leftChars="-50" w:right="-105" w:rightChars="-50"/>
                    <w:jc w:val="center"/>
                    <w:rPr>
                      <w:szCs w:val="21"/>
                    </w:rPr>
                  </w:pPr>
                  <w:r>
                    <w:rPr>
                      <w:rFonts w:hint="eastAsia"/>
                      <w:szCs w:val="21"/>
                    </w:rPr>
                    <w:t>固</w:t>
                  </w:r>
                </w:p>
              </w:tc>
              <w:tc>
                <w:tcPr>
                  <w:tcW w:w="432" w:type="pct"/>
                  <w:vAlign w:val="center"/>
                </w:tcPr>
                <w:p>
                  <w:pPr>
                    <w:jc w:val="center"/>
                    <w:rPr>
                      <w:szCs w:val="21"/>
                    </w:rPr>
                  </w:pPr>
                  <w:r>
                    <w:rPr>
                      <w:rFonts w:hint="eastAsia"/>
                      <w:szCs w:val="21"/>
                    </w:rPr>
                    <w:t>生活垃圾</w:t>
                  </w:r>
                </w:p>
              </w:tc>
              <w:tc>
                <w:tcPr>
                  <w:tcW w:w="518" w:type="pct"/>
                  <w:vAlign w:val="center"/>
                </w:tcPr>
                <w:p>
                  <w:pPr>
                    <w:ind w:left="-105" w:leftChars="-50" w:right="-105" w:rightChars="-50"/>
                    <w:jc w:val="center"/>
                    <w:rPr>
                      <w:szCs w:val="21"/>
                    </w:rPr>
                  </w:pPr>
                  <w:r>
                    <w:rPr>
                      <w:szCs w:val="21"/>
                    </w:rPr>
                    <w:t>-</w:t>
                  </w:r>
                </w:p>
              </w:tc>
              <w:tc>
                <w:tcPr>
                  <w:tcW w:w="346" w:type="pct"/>
                  <w:vAlign w:val="center"/>
                </w:tcPr>
                <w:p>
                  <w:pPr>
                    <w:ind w:left="-105" w:leftChars="-50" w:right="-105" w:rightChars="-50"/>
                    <w:jc w:val="center"/>
                    <w:rPr>
                      <w:szCs w:val="21"/>
                    </w:rPr>
                  </w:pPr>
                  <w:r>
                    <w:rPr>
                      <w:szCs w:val="21"/>
                    </w:rPr>
                    <w:t>-</w:t>
                  </w:r>
                </w:p>
              </w:tc>
              <w:tc>
                <w:tcPr>
                  <w:tcW w:w="345" w:type="pct"/>
                  <w:vAlign w:val="center"/>
                </w:tcPr>
                <w:p>
                  <w:pPr>
                    <w:ind w:left="-105" w:leftChars="-50" w:right="-105" w:rightChars="-50"/>
                    <w:jc w:val="center"/>
                    <w:rPr>
                      <w:szCs w:val="21"/>
                    </w:rPr>
                  </w:pPr>
                  <w:r>
                    <w:rPr>
                      <w:szCs w:val="21"/>
                    </w:rPr>
                    <w:t>-</w:t>
                  </w:r>
                </w:p>
              </w:tc>
              <w:tc>
                <w:tcPr>
                  <w:tcW w:w="606" w:type="pct"/>
                  <w:vAlign w:val="center"/>
                </w:tcPr>
                <w:p>
                  <w:pPr>
                    <w:ind w:left="-105" w:leftChars="-50" w:right="-105" w:rightChars="-50"/>
                    <w:jc w:val="center"/>
                    <w:rPr>
                      <w:szCs w:val="21"/>
                    </w:rPr>
                  </w:pPr>
                  <w:r>
                    <w:rPr>
                      <w:rFonts w:hint="eastAsia"/>
                      <w:szCs w:val="21"/>
                    </w:rPr>
                    <w:t>99</w:t>
                  </w:r>
                </w:p>
              </w:tc>
              <w:tc>
                <w:tcPr>
                  <w:tcW w:w="431" w:type="pct"/>
                  <w:vAlign w:val="center"/>
                </w:tcPr>
                <w:p>
                  <w:pPr>
                    <w:autoSpaceDE w:val="0"/>
                    <w:autoSpaceDN w:val="0"/>
                    <w:ind w:left="-50" w:right="-50"/>
                    <w:jc w:val="center"/>
                    <w:rPr>
                      <w:szCs w:val="21"/>
                    </w:rPr>
                  </w:pPr>
                  <w:r>
                    <w:rPr>
                      <w:rFonts w:hint="eastAsia"/>
                      <w:szCs w:val="21"/>
                    </w:rPr>
                    <w:t>0.7</w:t>
                  </w:r>
                </w:p>
              </w:tc>
              <w:tc>
                <w:tcPr>
                  <w:tcW w:w="569" w:type="pct"/>
                  <w:vAlign w:val="center"/>
                </w:tcPr>
                <w:p>
                  <w:pPr>
                    <w:ind w:left="-50" w:right="-50"/>
                    <w:jc w:val="center"/>
                    <w:rPr>
                      <w:szCs w:val="21"/>
                    </w:rPr>
                  </w:pPr>
                  <w:r>
                    <w:rPr>
                      <w:rFonts w:hint="eastAsia"/>
                      <w:szCs w:val="21"/>
                    </w:rPr>
                    <w:t>环卫清运</w:t>
                  </w:r>
                </w:p>
              </w:tc>
            </w:tr>
          </w:tbl>
          <w:p>
            <w:pPr>
              <w:pStyle w:val="77"/>
              <w:spacing w:beforeLines="50" w:line="360" w:lineRule="auto"/>
              <w:ind w:firstLine="454"/>
            </w:pPr>
            <w:r>
              <w:rPr>
                <w:rFonts w:hint="eastAsia"/>
                <w:snapToGrid w:val="0"/>
              </w:rPr>
              <w:t>根据上表可知，本项目一般工业固废产生量为</w:t>
            </w:r>
            <w:r>
              <w:rPr>
                <w:rFonts w:hint="eastAsia"/>
              </w:rPr>
              <w:t>3</w:t>
            </w:r>
            <w:r>
              <w:t>.</w:t>
            </w:r>
            <w:r>
              <w:rPr>
                <w:rFonts w:hint="eastAsia"/>
              </w:rPr>
              <w:t>173</w:t>
            </w:r>
            <w:r>
              <w:rPr>
                <w:snapToGrid w:val="0"/>
              </w:rPr>
              <w:t>t/a</w:t>
            </w:r>
            <w:r>
              <w:rPr>
                <w:rFonts w:hint="eastAsia"/>
                <w:snapToGrid w:val="0"/>
              </w:rPr>
              <w:t>，生活垃圾产生量为0.7</w:t>
            </w:r>
            <w:r>
              <w:rPr>
                <w:snapToGrid w:val="0"/>
              </w:rPr>
              <w:t>t/a</w:t>
            </w:r>
            <w:r>
              <w:rPr>
                <w:rFonts w:hint="eastAsia"/>
                <w:snapToGrid w:val="0"/>
              </w:rPr>
              <w:t>。其中本项目</w:t>
            </w:r>
            <w:r>
              <w:rPr>
                <w:rFonts w:hint="eastAsia"/>
              </w:rPr>
              <w:t>生活垃圾基本可以做到日产日清，基本不占用一般工业固废堆场；本项目一般工业固废产生量较小，因此本项目设置的10</w:t>
            </w:r>
            <w:r>
              <w:t>m</w:t>
            </w:r>
            <w:r>
              <w:rPr>
                <w:vertAlign w:val="superscript"/>
              </w:rPr>
              <w:t>2</w:t>
            </w:r>
            <w:r>
              <w:rPr>
                <w:rFonts w:hint="eastAsia"/>
              </w:rPr>
              <w:t>一般工业固废堆场可以满足固废贮存的要求。</w:t>
            </w:r>
          </w:p>
          <w:p>
            <w:pPr>
              <w:spacing w:line="360" w:lineRule="auto"/>
              <w:ind w:firstLine="480" w:firstLineChars="200"/>
              <w:rPr>
                <w:sz w:val="24"/>
              </w:rPr>
            </w:pPr>
          </w:p>
        </w:tc>
      </w:tr>
    </w:tbl>
    <w:p>
      <w:pPr>
        <w:pStyle w:val="3"/>
        <w:rPr>
          <w:rFonts w:eastAsia="宋体"/>
        </w:rPr>
      </w:pPr>
      <w:r>
        <w:rPr>
          <w:rFonts w:hint="eastAsia" w:eastAsia="宋体"/>
        </w:rPr>
        <w:t>八、</w:t>
      </w:r>
      <w:r>
        <w:rPr>
          <w:rFonts w:eastAsia="宋体"/>
        </w:rPr>
        <w:t>项目拟采取的防治措施及预期治理效果</w:t>
      </w:r>
    </w:p>
    <w:tbl>
      <w:tblPr>
        <w:tblStyle w:val="3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750"/>
        <w:gridCol w:w="1134"/>
        <w:gridCol w:w="1707"/>
        <w:gridCol w:w="2419"/>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059" w:type="dxa"/>
            <w:tcBorders>
              <w:tl2br w:val="single" w:color="auto" w:sz="4" w:space="0"/>
            </w:tcBorders>
          </w:tcPr>
          <w:p>
            <w:pPr>
              <w:ind w:firstLine="235" w:firstLineChars="98"/>
              <w:rPr>
                <w:b/>
                <w:sz w:val="24"/>
              </w:rPr>
            </w:pPr>
            <w:r>
              <w:rPr>
                <w:b/>
                <w:sz w:val="24"/>
              </w:rPr>
              <w:t>内容</w:t>
            </w:r>
          </w:p>
          <w:p>
            <w:pPr>
              <w:rPr>
                <w:b/>
                <w:sz w:val="24"/>
              </w:rPr>
            </w:pPr>
          </w:p>
          <w:p>
            <w:pPr>
              <w:rPr>
                <w:b/>
                <w:sz w:val="24"/>
              </w:rPr>
            </w:pPr>
            <w:r>
              <w:rPr>
                <w:b/>
                <w:sz w:val="24"/>
              </w:rPr>
              <w:t>类型</w:t>
            </w:r>
          </w:p>
        </w:tc>
        <w:tc>
          <w:tcPr>
            <w:tcW w:w="1884" w:type="dxa"/>
            <w:gridSpan w:val="2"/>
            <w:vAlign w:val="center"/>
          </w:tcPr>
          <w:p>
            <w:pPr>
              <w:jc w:val="center"/>
              <w:rPr>
                <w:b/>
                <w:sz w:val="24"/>
              </w:rPr>
            </w:pPr>
            <w:r>
              <w:rPr>
                <w:b/>
                <w:sz w:val="24"/>
              </w:rPr>
              <w:t>排放源</w:t>
            </w:r>
          </w:p>
        </w:tc>
        <w:tc>
          <w:tcPr>
            <w:tcW w:w="1707" w:type="dxa"/>
            <w:vAlign w:val="center"/>
          </w:tcPr>
          <w:p>
            <w:pPr>
              <w:jc w:val="center"/>
              <w:rPr>
                <w:b/>
                <w:sz w:val="24"/>
              </w:rPr>
            </w:pPr>
            <w:r>
              <w:rPr>
                <w:b/>
                <w:sz w:val="24"/>
              </w:rPr>
              <w:t>污染物名称</w:t>
            </w:r>
          </w:p>
        </w:tc>
        <w:tc>
          <w:tcPr>
            <w:tcW w:w="2419" w:type="dxa"/>
            <w:vAlign w:val="center"/>
          </w:tcPr>
          <w:p>
            <w:pPr>
              <w:jc w:val="center"/>
              <w:rPr>
                <w:b/>
                <w:sz w:val="24"/>
              </w:rPr>
            </w:pPr>
            <w:r>
              <w:rPr>
                <w:b/>
                <w:sz w:val="24"/>
              </w:rPr>
              <w:t>防治措施</w:t>
            </w:r>
          </w:p>
        </w:tc>
        <w:tc>
          <w:tcPr>
            <w:tcW w:w="1403" w:type="dxa"/>
            <w:vAlign w:val="center"/>
          </w:tcPr>
          <w:p>
            <w:pPr>
              <w:jc w:val="center"/>
              <w:rPr>
                <w:b/>
                <w:sz w:val="24"/>
              </w:rPr>
            </w:pPr>
            <w:r>
              <w:rPr>
                <w:b/>
                <w:sz w:val="24"/>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059" w:type="dxa"/>
            <w:vMerge w:val="restart"/>
            <w:vAlign w:val="center"/>
          </w:tcPr>
          <w:p>
            <w:pPr>
              <w:jc w:val="center"/>
              <w:rPr>
                <w:sz w:val="24"/>
              </w:rPr>
            </w:pPr>
            <w:r>
              <w:rPr>
                <w:sz w:val="24"/>
              </w:rPr>
              <w:t>大气污染物</w:t>
            </w:r>
          </w:p>
        </w:tc>
        <w:tc>
          <w:tcPr>
            <w:tcW w:w="750" w:type="dxa"/>
            <w:vAlign w:val="center"/>
          </w:tcPr>
          <w:p>
            <w:pPr>
              <w:jc w:val="center"/>
              <w:rPr>
                <w:sz w:val="24"/>
                <w:szCs w:val="24"/>
              </w:rPr>
            </w:pPr>
            <w:r>
              <w:rPr>
                <w:rFonts w:hint="eastAsia" w:hAnsi="宋体"/>
                <w:sz w:val="24"/>
                <w:szCs w:val="24"/>
              </w:rPr>
              <w:t>有</w:t>
            </w:r>
            <w:r>
              <w:rPr>
                <w:rFonts w:hAnsi="宋体"/>
                <w:sz w:val="24"/>
                <w:szCs w:val="24"/>
              </w:rPr>
              <w:t>组织</w:t>
            </w:r>
          </w:p>
        </w:tc>
        <w:tc>
          <w:tcPr>
            <w:tcW w:w="1134" w:type="dxa"/>
            <w:vAlign w:val="center"/>
          </w:tcPr>
          <w:p>
            <w:pPr>
              <w:jc w:val="center"/>
              <w:rPr>
                <w:sz w:val="24"/>
                <w:szCs w:val="24"/>
              </w:rPr>
            </w:pPr>
            <w:r>
              <w:rPr>
                <w:rFonts w:hint="eastAsia"/>
                <w:sz w:val="24"/>
                <w:szCs w:val="24"/>
              </w:rPr>
              <w:t>排气筒（</w:t>
            </w:r>
            <w:r>
              <w:rPr>
                <w:rFonts w:hint="eastAsia"/>
                <w:sz w:val="24"/>
                <w:szCs w:val="24"/>
                <w:lang w:val="en-US" w:eastAsia="zh-CN"/>
              </w:rPr>
              <w:t>1</w:t>
            </w:r>
            <w:r>
              <w:rPr>
                <w:rFonts w:hint="eastAsia"/>
                <w:sz w:val="24"/>
                <w:szCs w:val="24"/>
              </w:rPr>
              <w:t>#）</w:t>
            </w:r>
          </w:p>
        </w:tc>
        <w:tc>
          <w:tcPr>
            <w:tcW w:w="1707" w:type="dxa"/>
            <w:vAlign w:val="center"/>
          </w:tcPr>
          <w:p>
            <w:pPr>
              <w:jc w:val="center"/>
              <w:rPr>
                <w:rFonts w:hAnsi="宋体"/>
                <w:sz w:val="24"/>
                <w:szCs w:val="24"/>
              </w:rPr>
            </w:pPr>
            <w:r>
              <w:rPr>
                <w:rFonts w:hint="eastAsia" w:hAnsi="宋体"/>
                <w:sz w:val="24"/>
                <w:szCs w:val="24"/>
              </w:rPr>
              <w:t>粉尘</w:t>
            </w:r>
          </w:p>
        </w:tc>
        <w:tc>
          <w:tcPr>
            <w:tcW w:w="2419" w:type="dxa"/>
            <w:vAlign w:val="center"/>
          </w:tcPr>
          <w:p>
            <w:pPr>
              <w:ind w:left="0" w:leftChars="-48" w:hanging="100" w:hangingChars="42"/>
              <w:jc w:val="center"/>
              <w:rPr>
                <w:rFonts w:hAnsi="宋体"/>
                <w:sz w:val="24"/>
                <w:szCs w:val="24"/>
              </w:rPr>
            </w:pPr>
            <w:r>
              <w:rPr>
                <w:rFonts w:hint="eastAsia" w:hAnsi="宋体"/>
                <w:sz w:val="24"/>
                <w:szCs w:val="24"/>
              </w:rPr>
              <w:t>集气罩+布袋除尘器+15m排气筒</w:t>
            </w:r>
          </w:p>
        </w:tc>
        <w:tc>
          <w:tcPr>
            <w:tcW w:w="1403" w:type="dxa"/>
            <w:vMerge w:val="restart"/>
            <w:vAlign w:val="center"/>
          </w:tcPr>
          <w:p>
            <w:pPr>
              <w:jc w:val="center"/>
              <w:rPr>
                <w:sz w:val="24"/>
              </w:rPr>
            </w:pPr>
            <w:r>
              <w:rPr>
                <w:sz w:val="24"/>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059" w:type="dxa"/>
            <w:vMerge w:val="continue"/>
            <w:vAlign w:val="center"/>
          </w:tcPr>
          <w:p>
            <w:pPr>
              <w:jc w:val="center"/>
              <w:rPr>
                <w:sz w:val="24"/>
              </w:rPr>
            </w:pPr>
          </w:p>
        </w:tc>
        <w:tc>
          <w:tcPr>
            <w:tcW w:w="750" w:type="dxa"/>
            <w:vAlign w:val="center"/>
          </w:tcPr>
          <w:p>
            <w:pPr>
              <w:jc w:val="center"/>
              <w:rPr>
                <w:sz w:val="24"/>
                <w:szCs w:val="24"/>
              </w:rPr>
            </w:pPr>
            <w:r>
              <w:rPr>
                <w:rFonts w:hint="eastAsia" w:hAnsi="宋体"/>
                <w:sz w:val="24"/>
                <w:szCs w:val="24"/>
              </w:rPr>
              <w:t>无</w:t>
            </w:r>
            <w:r>
              <w:rPr>
                <w:rFonts w:hAnsi="宋体"/>
                <w:sz w:val="24"/>
                <w:szCs w:val="24"/>
              </w:rPr>
              <w:t>组织</w:t>
            </w:r>
          </w:p>
        </w:tc>
        <w:tc>
          <w:tcPr>
            <w:tcW w:w="1134" w:type="dxa"/>
            <w:vAlign w:val="center"/>
          </w:tcPr>
          <w:p>
            <w:pPr>
              <w:adjustRightInd w:val="0"/>
              <w:snapToGrid w:val="0"/>
              <w:ind w:left="-105" w:leftChars="-50"/>
              <w:jc w:val="center"/>
              <w:rPr>
                <w:sz w:val="24"/>
                <w:szCs w:val="24"/>
              </w:rPr>
            </w:pPr>
            <w:r>
              <w:rPr>
                <w:rFonts w:hint="eastAsia"/>
                <w:sz w:val="24"/>
                <w:szCs w:val="24"/>
                <w:lang w:eastAsia="zh-CN"/>
              </w:rPr>
              <w:t>工作</w:t>
            </w:r>
            <w:r>
              <w:rPr>
                <w:rFonts w:hint="eastAsia"/>
                <w:sz w:val="24"/>
                <w:szCs w:val="24"/>
              </w:rPr>
              <w:t>车间</w:t>
            </w:r>
          </w:p>
        </w:tc>
        <w:tc>
          <w:tcPr>
            <w:tcW w:w="1707" w:type="dxa"/>
            <w:vAlign w:val="center"/>
          </w:tcPr>
          <w:p>
            <w:pPr>
              <w:jc w:val="center"/>
              <w:rPr>
                <w:sz w:val="24"/>
                <w:szCs w:val="24"/>
              </w:rPr>
            </w:pPr>
            <w:r>
              <w:rPr>
                <w:rFonts w:hint="eastAsia"/>
                <w:sz w:val="24"/>
                <w:szCs w:val="24"/>
              </w:rPr>
              <w:t>粉尘</w:t>
            </w:r>
          </w:p>
        </w:tc>
        <w:tc>
          <w:tcPr>
            <w:tcW w:w="2419" w:type="dxa"/>
            <w:vAlign w:val="center"/>
          </w:tcPr>
          <w:p>
            <w:pPr>
              <w:jc w:val="center"/>
              <w:rPr>
                <w:sz w:val="24"/>
                <w:szCs w:val="24"/>
              </w:rPr>
            </w:pPr>
            <w:r>
              <w:rPr>
                <w:rFonts w:hint="eastAsia" w:hAnsi="宋体"/>
                <w:sz w:val="24"/>
                <w:szCs w:val="24"/>
              </w:rPr>
              <w:t>加强自然通风和机械排风</w:t>
            </w:r>
          </w:p>
        </w:tc>
        <w:tc>
          <w:tcPr>
            <w:tcW w:w="1403"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059" w:type="dxa"/>
            <w:vAlign w:val="center"/>
          </w:tcPr>
          <w:p>
            <w:pPr>
              <w:jc w:val="center"/>
              <w:rPr>
                <w:sz w:val="24"/>
              </w:rPr>
            </w:pPr>
            <w:r>
              <w:rPr>
                <w:sz w:val="24"/>
              </w:rPr>
              <w:t>水</w:t>
            </w:r>
            <w:r>
              <w:rPr>
                <w:rFonts w:hint="eastAsia"/>
                <w:sz w:val="24"/>
              </w:rPr>
              <w:t>污染物</w:t>
            </w:r>
          </w:p>
        </w:tc>
        <w:tc>
          <w:tcPr>
            <w:tcW w:w="1884" w:type="dxa"/>
            <w:gridSpan w:val="2"/>
            <w:vAlign w:val="center"/>
          </w:tcPr>
          <w:p>
            <w:pPr>
              <w:jc w:val="center"/>
              <w:rPr>
                <w:rFonts w:hAnsi="宋体"/>
                <w:sz w:val="24"/>
                <w:szCs w:val="24"/>
              </w:rPr>
            </w:pPr>
            <w:r>
              <w:rPr>
                <w:rFonts w:hAnsi="宋体"/>
                <w:sz w:val="24"/>
                <w:szCs w:val="24"/>
              </w:rPr>
              <w:t>生活污水</w:t>
            </w:r>
          </w:p>
        </w:tc>
        <w:tc>
          <w:tcPr>
            <w:tcW w:w="1707" w:type="dxa"/>
            <w:vAlign w:val="center"/>
          </w:tcPr>
          <w:p>
            <w:pPr>
              <w:jc w:val="center"/>
              <w:rPr>
                <w:sz w:val="24"/>
                <w:szCs w:val="24"/>
              </w:rPr>
            </w:pPr>
            <w:r>
              <w:rPr>
                <w:sz w:val="24"/>
                <w:szCs w:val="24"/>
              </w:rPr>
              <w:t>COD</w:t>
            </w:r>
            <w:r>
              <w:rPr>
                <w:rFonts w:hint="eastAsia"/>
                <w:sz w:val="24"/>
                <w:szCs w:val="24"/>
              </w:rPr>
              <w:t>、</w:t>
            </w:r>
            <w:r>
              <w:rPr>
                <w:sz w:val="24"/>
                <w:szCs w:val="24"/>
              </w:rPr>
              <w:t>SS</w:t>
            </w:r>
            <w:r>
              <w:rPr>
                <w:rFonts w:hint="eastAsia"/>
                <w:sz w:val="24"/>
                <w:szCs w:val="24"/>
              </w:rPr>
              <w:t>、</w:t>
            </w:r>
            <w:r>
              <w:rPr>
                <w:rFonts w:hAnsi="宋体"/>
                <w:sz w:val="24"/>
                <w:szCs w:val="24"/>
              </w:rPr>
              <w:t>氨氮</w:t>
            </w:r>
            <w:r>
              <w:rPr>
                <w:rFonts w:hint="eastAsia"/>
                <w:sz w:val="24"/>
                <w:szCs w:val="24"/>
              </w:rPr>
              <w:t>、</w:t>
            </w:r>
            <w:r>
              <w:rPr>
                <w:rFonts w:hAnsi="宋体"/>
                <w:sz w:val="24"/>
                <w:szCs w:val="24"/>
              </w:rPr>
              <w:t>总磷</w:t>
            </w:r>
          </w:p>
        </w:tc>
        <w:tc>
          <w:tcPr>
            <w:tcW w:w="2419" w:type="dxa"/>
            <w:vAlign w:val="center"/>
          </w:tcPr>
          <w:p>
            <w:pPr>
              <w:rPr>
                <w:rFonts w:hAnsi="宋体"/>
                <w:sz w:val="24"/>
                <w:szCs w:val="24"/>
              </w:rPr>
            </w:pPr>
            <w:r>
              <w:rPr>
                <w:rFonts w:hAnsi="宋体"/>
                <w:sz w:val="24"/>
                <w:szCs w:val="24"/>
              </w:rPr>
              <w:t>地埋式污水处理设施</w:t>
            </w:r>
          </w:p>
        </w:tc>
        <w:tc>
          <w:tcPr>
            <w:tcW w:w="1403" w:type="dxa"/>
            <w:vAlign w:val="center"/>
          </w:tcPr>
          <w:p>
            <w:pPr>
              <w:jc w:val="center"/>
              <w:rPr>
                <w:rFonts w:hAnsi="宋体"/>
                <w:sz w:val="24"/>
                <w:szCs w:val="24"/>
              </w:rPr>
            </w:pPr>
            <w:r>
              <w:rPr>
                <w:rFonts w:hAnsi="宋体"/>
                <w:sz w:val="24"/>
                <w:szCs w:val="24"/>
              </w:rPr>
              <w:t>用于厂区绿化</w:t>
            </w:r>
            <w:r>
              <w:rPr>
                <w:rFonts w:hint="eastAsia" w:hAnsi="宋体"/>
                <w:sz w:val="24"/>
                <w:szCs w:val="24"/>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059" w:type="dxa"/>
            <w:vAlign w:val="center"/>
          </w:tcPr>
          <w:p>
            <w:pPr>
              <w:jc w:val="center"/>
              <w:rPr>
                <w:sz w:val="24"/>
              </w:rPr>
            </w:pPr>
            <w:r>
              <w:rPr>
                <w:rFonts w:hint="eastAsia"/>
                <w:sz w:val="24"/>
              </w:rPr>
              <w:t>电离辐射和电磁辐射</w:t>
            </w:r>
          </w:p>
        </w:tc>
        <w:tc>
          <w:tcPr>
            <w:tcW w:w="1884" w:type="dxa"/>
            <w:gridSpan w:val="2"/>
            <w:vAlign w:val="center"/>
          </w:tcPr>
          <w:p>
            <w:pPr>
              <w:jc w:val="center"/>
              <w:rPr>
                <w:sz w:val="24"/>
              </w:rPr>
            </w:pPr>
            <w:r>
              <w:rPr>
                <w:sz w:val="24"/>
              </w:rPr>
              <w:t>—</w:t>
            </w:r>
          </w:p>
        </w:tc>
        <w:tc>
          <w:tcPr>
            <w:tcW w:w="1707" w:type="dxa"/>
            <w:tcBorders>
              <w:bottom w:val="single" w:color="auto" w:sz="4" w:space="0"/>
            </w:tcBorders>
            <w:vAlign w:val="center"/>
          </w:tcPr>
          <w:p>
            <w:pPr>
              <w:jc w:val="center"/>
              <w:rPr>
                <w:sz w:val="24"/>
              </w:rPr>
            </w:pPr>
            <w:r>
              <w:rPr>
                <w:sz w:val="24"/>
              </w:rPr>
              <w:t>—</w:t>
            </w:r>
          </w:p>
        </w:tc>
        <w:tc>
          <w:tcPr>
            <w:tcW w:w="2419" w:type="dxa"/>
            <w:tcBorders>
              <w:bottom w:val="single" w:color="auto" w:sz="4" w:space="0"/>
            </w:tcBorders>
            <w:vAlign w:val="center"/>
          </w:tcPr>
          <w:p>
            <w:pPr>
              <w:pStyle w:val="98"/>
              <w:spacing w:before="156" w:after="156"/>
              <w:rPr>
                <w:rFonts w:ascii="Times New Roman" w:hAnsi="Times New Roman"/>
                <w:szCs w:val="24"/>
              </w:rPr>
            </w:pPr>
            <w:r>
              <w:rPr>
                <w:rFonts w:ascii="Times New Roman" w:hAnsi="Times New Roman"/>
              </w:rPr>
              <w:t>—</w:t>
            </w:r>
          </w:p>
        </w:tc>
        <w:tc>
          <w:tcPr>
            <w:tcW w:w="1403" w:type="dxa"/>
            <w:tcBorders>
              <w:bottom w:val="single" w:color="auto" w:sz="2" w:space="0"/>
            </w:tcBorders>
            <w:vAlign w:val="center"/>
          </w:tcPr>
          <w:p>
            <w:pPr>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1059" w:type="dxa"/>
            <w:vMerge w:val="restart"/>
            <w:tcBorders>
              <w:top w:val="single" w:color="auto" w:sz="2" w:space="0"/>
            </w:tcBorders>
            <w:vAlign w:val="center"/>
          </w:tcPr>
          <w:p>
            <w:pPr>
              <w:jc w:val="center"/>
              <w:rPr>
                <w:sz w:val="24"/>
              </w:rPr>
            </w:pPr>
            <w:r>
              <w:rPr>
                <w:rFonts w:hint="eastAsia"/>
                <w:sz w:val="24"/>
              </w:rPr>
              <w:t>固体废物</w:t>
            </w:r>
          </w:p>
        </w:tc>
        <w:tc>
          <w:tcPr>
            <w:tcW w:w="1884" w:type="dxa"/>
            <w:gridSpan w:val="2"/>
            <w:vMerge w:val="restart"/>
            <w:tcBorders>
              <w:top w:val="single" w:color="auto" w:sz="2" w:space="0"/>
            </w:tcBorders>
            <w:vAlign w:val="center"/>
          </w:tcPr>
          <w:p>
            <w:pPr>
              <w:jc w:val="center"/>
              <w:rPr>
                <w:sz w:val="24"/>
                <w:szCs w:val="24"/>
              </w:rPr>
            </w:pPr>
            <w:r>
              <w:rPr>
                <w:sz w:val="24"/>
                <w:szCs w:val="24"/>
              </w:rPr>
              <w:t>生产车间</w:t>
            </w:r>
          </w:p>
        </w:tc>
        <w:tc>
          <w:tcPr>
            <w:tcW w:w="1707" w:type="dxa"/>
          </w:tcPr>
          <w:p>
            <w:pPr>
              <w:jc w:val="center"/>
              <w:rPr>
                <w:rFonts w:hAnsi="宋体"/>
                <w:sz w:val="24"/>
                <w:szCs w:val="24"/>
              </w:rPr>
            </w:pPr>
            <w:r>
              <w:rPr>
                <w:rFonts w:hint="eastAsia" w:hAnsi="宋体"/>
                <w:sz w:val="24"/>
                <w:szCs w:val="24"/>
              </w:rPr>
              <w:t>废包装袋</w:t>
            </w:r>
          </w:p>
        </w:tc>
        <w:tc>
          <w:tcPr>
            <w:tcW w:w="2419" w:type="dxa"/>
          </w:tcPr>
          <w:p>
            <w:pPr>
              <w:jc w:val="center"/>
              <w:rPr>
                <w:rFonts w:hAnsi="宋体"/>
                <w:sz w:val="24"/>
                <w:szCs w:val="24"/>
              </w:rPr>
            </w:pPr>
            <w:r>
              <w:rPr>
                <w:rFonts w:hint="eastAsia" w:hAnsi="宋体"/>
                <w:sz w:val="24"/>
                <w:szCs w:val="24"/>
              </w:rPr>
              <w:t>外售</w:t>
            </w:r>
          </w:p>
        </w:tc>
        <w:tc>
          <w:tcPr>
            <w:tcW w:w="1403" w:type="dxa"/>
            <w:vMerge w:val="restart"/>
            <w:tcBorders>
              <w:top w:val="single" w:color="auto" w:sz="2" w:space="0"/>
            </w:tcBorders>
            <w:vAlign w:val="center"/>
          </w:tcPr>
          <w:p>
            <w:pPr>
              <w:jc w:val="center"/>
              <w:rPr>
                <w:sz w:val="24"/>
              </w:rPr>
            </w:pPr>
            <w:r>
              <w:rPr>
                <w:sz w:val="24"/>
              </w:rPr>
              <w:t>有效处置</w:t>
            </w:r>
            <w:r>
              <w:rPr>
                <w:rFonts w:hint="eastAsia"/>
                <w:sz w:val="24"/>
              </w:rPr>
              <w:t>，</w:t>
            </w:r>
            <w:r>
              <w:rPr>
                <w:sz w:val="24"/>
              </w:rPr>
              <w:t>无外排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059" w:type="dxa"/>
            <w:vMerge w:val="continue"/>
            <w:vAlign w:val="center"/>
          </w:tcPr>
          <w:p>
            <w:pPr>
              <w:jc w:val="center"/>
              <w:rPr>
                <w:sz w:val="24"/>
              </w:rPr>
            </w:pPr>
          </w:p>
        </w:tc>
        <w:tc>
          <w:tcPr>
            <w:tcW w:w="1884" w:type="dxa"/>
            <w:gridSpan w:val="2"/>
            <w:vMerge w:val="continue"/>
            <w:vAlign w:val="center"/>
          </w:tcPr>
          <w:p>
            <w:pPr>
              <w:jc w:val="center"/>
              <w:rPr>
                <w:sz w:val="24"/>
                <w:szCs w:val="24"/>
              </w:rPr>
            </w:pPr>
          </w:p>
        </w:tc>
        <w:tc>
          <w:tcPr>
            <w:tcW w:w="1707" w:type="dxa"/>
            <w:vAlign w:val="center"/>
          </w:tcPr>
          <w:p>
            <w:pPr>
              <w:jc w:val="center"/>
              <w:rPr>
                <w:sz w:val="24"/>
                <w:szCs w:val="24"/>
              </w:rPr>
            </w:pPr>
            <w:r>
              <w:rPr>
                <w:rFonts w:hint="eastAsia"/>
                <w:sz w:val="24"/>
                <w:szCs w:val="24"/>
              </w:rPr>
              <w:t>收集的粉尘</w:t>
            </w:r>
          </w:p>
        </w:tc>
        <w:tc>
          <w:tcPr>
            <w:tcW w:w="2419" w:type="dxa"/>
            <w:vAlign w:val="center"/>
          </w:tcPr>
          <w:p>
            <w:pPr>
              <w:jc w:val="center"/>
              <w:rPr>
                <w:sz w:val="24"/>
                <w:szCs w:val="24"/>
              </w:rPr>
            </w:pPr>
            <w:r>
              <w:rPr>
                <w:rFonts w:hint="eastAsia"/>
                <w:sz w:val="24"/>
                <w:szCs w:val="24"/>
              </w:rPr>
              <w:t>外售</w:t>
            </w:r>
          </w:p>
        </w:tc>
        <w:tc>
          <w:tcPr>
            <w:tcW w:w="1403"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059" w:type="dxa"/>
            <w:vMerge w:val="continue"/>
            <w:vAlign w:val="center"/>
          </w:tcPr>
          <w:p>
            <w:pPr>
              <w:jc w:val="center"/>
              <w:rPr>
                <w:sz w:val="24"/>
              </w:rPr>
            </w:pPr>
          </w:p>
        </w:tc>
        <w:tc>
          <w:tcPr>
            <w:tcW w:w="1884" w:type="dxa"/>
            <w:gridSpan w:val="2"/>
            <w:vAlign w:val="center"/>
          </w:tcPr>
          <w:p>
            <w:pPr>
              <w:jc w:val="center"/>
              <w:rPr>
                <w:sz w:val="24"/>
              </w:rPr>
            </w:pPr>
            <w:r>
              <w:rPr>
                <w:sz w:val="24"/>
              </w:rPr>
              <w:t>办公生活</w:t>
            </w:r>
          </w:p>
        </w:tc>
        <w:tc>
          <w:tcPr>
            <w:tcW w:w="1707" w:type="dxa"/>
            <w:vAlign w:val="center"/>
          </w:tcPr>
          <w:p>
            <w:pPr>
              <w:adjustRightInd w:val="0"/>
              <w:snapToGrid w:val="0"/>
              <w:jc w:val="center"/>
              <w:rPr>
                <w:sz w:val="24"/>
                <w:szCs w:val="24"/>
              </w:rPr>
            </w:pPr>
            <w:r>
              <w:rPr>
                <w:sz w:val="24"/>
              </w:rPr>
              <w:t>生活垃圾</w:t>
            </w:r>
          </w:p>
        </w:tc>
        <w:tc>
          <w:tcPr>
            <w:tcW w:w="2419" w:type="dxa"/>
            <w:vAlign w:val="center"/>
          </w:tcPr>
          <w:p>
            <w:pPr>
              <w:jc w:val="center"/>
              <w:rPr>
                <w:sz w:val="24"/>
              </w:rPr>
            </w:pPr>
            <w:r>
              <w:rPr>
                <w:sz w:val="24"/>
              </w:rPr>
              <w:t>环卫清运</w:t>
            </w:r>
          </w:p>
        </w:tc>
        <w:tc>
          <w:tcPr>
            <w:tcW w:w="1403"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trPr>
        <w:tc>
          <w:tcPr>
            <w:tcW w:w="1059" w:type="dxa"/>
            <w:vAlign w:val="center"/>
          </w:tcPr>
          <w:p>
            <w:pPr>
              <w:jc w:val="center"/>
              <w:rPr>
                <w:sz w:val="24"/>
              </w:rPr>
            </w:pPr>
            <w:r>
              <w:rPr>
                <w:rFonts w:hint="eastAsia"/>
                <w:sz w:val="24"/>
              </w:rPr>
              <w:t>噪声</w:t>
            </w:r>
          </w:p>
        </w:tc>
        <w:tc>
          <w:tcPr>
            <w:tcW w:w="7413" w:type="dxa"/>
            <w:gridSpan w:val="5"/>
            <w:vAlign w:val="center"/>
          </w:tcPr>
          <w:p>
            <w:pPr>
              <w:adjustRightInd w:val="0"/>
              <w:snapToGrid w:val="0"/>
              <w:ind w:firstLine="480" w:firstLineChars="200"/>
              <w:rPr>
                <w:sz w:val="24"/>
                <w:szCs w:val="24"/>
              </w:rPr>
            </w:pPr>
            <w:r>
              <w:rPr>
                <w:sz w:val="24"/>
                <w:szCs w:val="24"/>
              </w:rPr>
              <w:t>本项目高噪声设备主要为</w:t>
            </w:r>
            <w:r>
              <w:rPr>
                <w:rFonts w:hint="eastAsia"/>
                <w:sz w:val="24"/>
                <w:szCs w:val="24"/>
              </w:rPr>
              <w:t>漂白机、粉碎机、筛分机</w:t>
            </w:r>
            <w:r>
              <w:rPr>
                <w:rFonts w:hint="eastAsia"/>
                <w:spacing w:val="8"/>
                <w:kern w:val="24"/>
                <w:sz w:val="24"/>
                <w:szCs w:val="24"/>
              </w:rPr>
              <w:t>等设备</w:t>
            </w:r>
            <w:r>
              <w:rPr>
                <w:sz w:val="24"/>
                <w:szCs w:val="24"/>
              </w:rPr>
              <w:t>，噪声值</w:t>
            </w:r>
            <w:r>
              <w:rPr>
                <w:rFonts w:hint="eastAsia"/>
                <w:sz w:val="24"/>
                <w:szCs w:val="24"/>
              </w:rPr>
              <w:t>范围</w:t>
            </w:r>
            <w:r>
              <w:rPr>
                <w:sz w:val="24"/>
                <w:szCs w:val="24"/>
              </w:rPr>
              <w:t>为75～</w:t>
            </w:r>
            <w:r>
              <w:rPr>
                <w:rFonts w:hint="eastAsia"/>
                <w:sz w:val="24"/>
                <w:szCs w:val="24"/>
              </w:rPr>
              <w:t>85</w:t>
            </w:r>
            <w:r>
              <w:rPr>
                <w:sz w:val="24"/>
                <w:szCs w:val="24"/>
              </w:rPr>
              <w:t>dB（A），各个设备噪声经过减振、厂房隔声及距离衰减等措施后，厂界噪声影响值满足《工业企业厂界环境噪声排放标准》（GB12348-2008）</w:t>
            </w:r>
            <w:r>
              <w:rPr>
                <w:rFonts w:hint="eastAsia"/>
                <w:sz w:val="24"/>
                <w:szCs w:val="24"/>
              </w:rPr>
              <w:t>2</w:t>
            </w:r>
            <w:r>
              <w:rPr>
                <w:sz w:val="24"/>
                <w:szCs w:val="24"/>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6" w:hRule="atLeast"/>
        </w:trPr>
        <w:tc>
          <w:tcPr>
            <w:tcW w:w="8472" w:type="dxa"/>
            <w:gridSpan w:val="6"/>
            <w:vAlign w:val="center"/>
          </w:tcPr>
          <w:p>
            <w:pPr>
              <w:adjustRightInd w:val="0"/>
              <w:snapToGrid w:val="0"/>
              <w:jc w:val="left"/>
              <w:rPr>
                <w:b/>
                <w:sz w:val="24"/>
              </w:rPr>
            </w:pPr>
            <w:r>
              <w:rPr>
                <w:rFonts w:hint="eastAsia"/>
                <w:b/>
                <w:sz w:val="24"/>
              </w:rPr>
              <w:t>生态保护措施：</w:t>
            </w:r>
          </w:p>
          <w:p>
            <w:pPr>
              <w:adjustRightInd w:val="0"/>
              <w:snapToGrid w:val="0"/>
              <w:ind w:firstLine="480" w:firstLineChars="200"/>
              <w:jc w:val="left"/>
              <w:rPr>
                <w:sz w:val="24"/>
              </w:rPr>
            </w:pPr>
            <w:r>
              <w:rPr>
                <w:rFonts w:hint="eastAsia"/>
                <w:sz w:val="24"/>
              </w:rPr>
              <w:t>无。</w:t>
            </w:r>
          </w:p>
          <w:p>
            <w:pPr>
              <w:adjustRightInd w:val="0"/>
              <w:snapToGrid w:val="0"/>
              <w:jc w:val="left"/>
              <w:rPr>
                <w:sz w:val="24"/>
              </w:rPr>
            </w:pPr>
          </w:p>
          <w:p>
            <w:pPr>
              <w:adjustRightInd w:val="0"/>
              <w:snapToGrid w:val="0"/>
              <w:jc w:val="left"/>
              <w:rPr>
                <w:sz w:val="24"/>
              </w:rPr>
            </w:pPr>
          </w:p>
          <w:p>
            <w:pPr>
              <w:adjustRightInd w:val="0"/>
              <w:snapToGrid w:val="0"/>
              <w:jc w:val="left"/>
              <w:rPr>
                <w:sz w:val="24"/>
              </w:rPr>
            </w:pPr>
          </w:p>
          <w:p>
            <w:pPr>
              <w:adjustRightInd w:val="0"/>
              <w:snapToGrid w:val="0"/>
              <w:jc w:val="left"/>
              <w:rPr>
                <w:sz w:val="24"/>
              </w:rPr>
            </w:pPr>
          </w:p>
          <w:p>
            <w:pPr>
              <w:adjustRightInd w:val="0"/>
              <w:snapToGrid w:val="0"/>
              <w:jc w:val="left"/>
              <w:rPr>
                <w:sz w:val="24"/>
              </w:rPr>
            </w:pPr>
          </w:p>
          <w:p>
            <w:pPr>
              <w:adjustRightInd w:val="0"/>
              <w:snapToGrid w:val="0"/>
              <w:jc w:val="left"/>
              <w:rPr>
                <w:sz w:val="24"/>
              </w:rPr>
            </w:pPr>
          </w:p>
          <w:p>
            <w:pPr>
              <w:adjustRightInd w:val="0"/>
              <w:snapToGrid w:val="0"/>
              <w:jc w:val="left"/>
              <w:rPr>
                <w:sz w:val="24"/>
              </w:rPr>
            </w:pPr>
          </w:p>
          <w:p>
            <w:pPr>
              <w:adjustRightInd w:val="0"/>
              <w:snapToGrid w:val="0"/>
              <w:jc w:val="left"/>
              <w:rPr>
                <w:sz w:val="24"/>
              </w:rPr>
            </w:pPr>
          </w:p>
          <w:p>
            <w:pPr>
              <w:adjustRightInd w:val="0"/>
              <w:snapToGrid w:val="0"/>
              <w:jc w:val="left"/>
              <w:rPr>
                <w:sz w:val="24"/>
              </w:rPr>
            </w:pPr>
          </w:p>
          <w:p>
            <w:pPr>
              <w:adjustRightInd w:val="0"/>
              <w:snapToGrid w:val="0"/>
              <w:jc w:val="left"/>
              <w:rPr>
                <w:sz w:val="24"/>
              </w:rPr>
            </w:pPr>
          </w:p>
          <w:p>
            <w:pPr>
              <w:adjustRightInd w:val="0"/>
              <w:snapToGrid w:val="0"/>
              <w:jc w:val="left"/>
              <w:rPr>
                <w:sz w:val="24"/>
              </w:rPr>
            </w:pPr>
          </w:p>
          <w:p>
            <w:pPr>
              <w:adjustRightInd w:val="0"/>
              <w:snapToGrid w:val="0"/>
              <w:jc w:val="left"/>
              <w:rPr>
                <w:sz w:val="24"/>
              </w:rPr>
            </w:pPr>
          </w:p>
          <w:p>
            <w:pPr>
              <w:adjustRightInd w:val="0"/>
              <w:snapToGrid w:val="0"/>
              <w:jc w:val="left"/>
              <w:rPr>
                <w:sz w:val="24"/>
              </w:rPr>
            </w:pPr>
          </w:p>
          <w:p>
            <w:pPr>
              <w:adjustRightInd w:val="0"/>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3" w:hRule="atLeast"/>
        </w:trPr>
        <w:tc>
          <w:tcPr>
            <w:tcW w:w="8472" w:type="dxa"/>
            <w:gridSpan w:val="6"/>
          </w:tcPr>
          <w:p>
            <w:pPr>
              <w:autoSpaceDE w:val="0"/>
              <w:autoSpaceDN w:val="0"/>
              <w:spacing w:line="360" w:lineRule="auto"/>
              <w:jc w:val="left"/>
              <w:rPr>
                <w:b/>
                <w:kern w:val="0"/>
                <w:sz w:val="24"/>
                <w:szCs w:val="24"/>
              </w:rPr>
            </w:pPr>
            <w:r>
              <w:rPr>
                <w:b/>
                <w:kern w:val="0"/>
                <w:sz w:val="24"/>
                <w:szCs w:val="24"/>
              </w:rPr>
              <w:t>环保措施投资</w:t>
            </w:r>
          </w:p>
          <w:p>
            <w:pPr>
              <w:autoSpaceDE w:val="0"/>
              <w:autoSpaceDN w:val="0"/>
              <w:spacing w:line="360" w:lineRule="auto"/>
              <w:ind w:firstLine="480" w:firstLineChars="200"/>
              <w:rPr>
                <w:sz w:val="24"/>
              </w:rPr>
            </w:pPr>
            <w:r>
              <w:rPr>
                <w:sz w:val="24"/>
              </w:rPr>
              <w:t>本项目环保投资估算及</w:t>
            </w:r>
            <w:r>
              <w:rPr>
                <w:rFonts w:ascii="宋体" w:hAnsi="宋体"/>
                <w:sz w:val="24"/>
              </w:rPr>
              <w:t>“</w:t>
            </w:r>
            <w:r>
              <w:rPr>
                <w:sz w:val="24"/>
              </w:rPr>
              <w:t>三同时</w:t>
            </w:r>
            <w:r>
              <w:rPr>
                <w:rFonts w:ascii="宋体" w:hAnsi="宋体"/>
                <w:sz w:val="24"/>
              </w:rPr>
              <w:t>”</w:t>
            </w:r>
            <w:r>
              <w:rPr>
                <w:sz w:val="24"/>
              </w:rPr>
              <w:t>验收一览表见表</w:t>
            </w:r>
            <w:r>
              <w:rPr>
                <w:rFonts w:hint="eastAsia"/>
                <w:sz w:val="24"/>
              </w:rPr>
              <w:t>8</w:t>
            </w:r>
            <w:r>
              <w:rPr>
                <w:sz w:val="24"/>
              </w:rPr>
              <w:t>-</w:t>
            </w:r>
            <w:r>
              <w:rPr>
                <w:rFonts w:hint="eastAsia"/>
                <w:sz w:val="24"/>
              </w:rPr>
              <w:t>1</w:t>
            </w:r>
            <w:r>
              <w:rPr>
                <w:sz w:val="24"/>
              </w:rPr>
              <w:t>。</w:t>
            </w:r>
          </w:p>
          <w:p>
            <w:pPr>
              <w:jc w:val="center"/>
              <w:rPr>
                <w:b/>
                <w:sz w:val="24"/>
                <w:szCs w:val="24"/>
              </w:rPr>
            </w:pPr>
            <w:r>
              <w:rPr>
                <w:b/>
                <w:sz w:val="24"/>
                <w:szCs w:val="24"/>
              </w:rPr>
              <w:t>表</w:t>
            </w:r>
            <w:r>
              <w:rPr>
                <w:rFonts w:hint="eastAsia"/>
                <w:b/>
                <w:sz w:val="24"/>
                <w:szCs w:val="24"/>
              </w:rPr>
              <w:t>8</w:t>
            </w:r>
            <w:r>
              <w:rPr>
                <w:b/>
                <w:sz w:val="24"/>
                <w:szCs w:val="24"/>
              </w:rPr>
              <w:t>-</w:t>
            </w:r>
            <w:r>
              <w:rPr>
                <w:rFonts w:hint="eastAsia"/>
                <w:b/>
                <w:sz w:val="24"/>
                <w:szCs w:val="24"/>
              </w:rPr>
              <w:t xml:space="preserve">1  </w:t>
            </w:r>
            <w:r>
              <w:rPr>
                <w:b/>
                <w:sz w:val="24"/>
                <w:szCs w:val="24"/>
              </w:rPr>
              <w:t>本项目</w:t>
            </w:r>
            <w:r>
              <w:rPr>
                <w:rFonts w:ascii="宋体" w:hAnsi="宋体"/>
                <w:b/>
                <w:sz w:val="24"/>
                <w:szCs w:val="24"/>
              </w:rPr>
              <w:t>“</w:t>
            </w:r>
            <w:r>
              <w:rPr>
                <w:b/>
                <w:sz w:val="24"/>
                <w:szCs w:val="24"/>
              </w:rPr>
              <w:t>三同时</w:t>
            </w:r>
            <w:r>
              <w:rPr>
                <w:rFonts w:ascii="宋体" w:hAnsi="宋体"/>
                <w:b/>
                <w:sz w:val="24"/>
                <w:szCs w:val="24"/>
              </w:rPr>
              <w:t>”</w:t>
            </w:r>
            <w:r>
              <w:rPr>
                <w:b/>
                <w:sz w:val="24"/>
                <w:szCs w:val="24"/>
              </w:rPr>
              <w:t>验收一览表</w:t>
            </w:r>
          </w:p>
          <w:tbl>
            <w:tblPr>
              <w:tblStyle w:val="33"/>
              <w:tblW w:w="5000"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991"/>
              <w:gridCol w:w="1581"/>
              <w:gridCol w:w="1138"/>
              <w:gridCol w:w="1080"/>
              <w:gridCol w:w="2734"/>
              <w:gridCol w:w="73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600" w:type="pct"/>
                  <w:vAlign w:val="center"/>
                </w:tcPr>
                <w:p>
                  <w:pPr>
                    <w:adjustRightInd w:val="0"/>
                    <w:snapToGrid w:val="0"/>
                    <w:jc w:val="center"/>
                    <w:rPr>
                      <w:b/>
                      <w:szCs w:val="21"/>
                    </w:rPr>
                  </w:pPr>
                  <w:r>
                    <w:rPr>
                      <w:b/>
                      <w:szCs w:val="21"/>
                    </w:rPr>
                    <w:t>污染源</w:t>
                  </w:r>
                </w:p>
              </w:tc>
              <w:tc>
                <w:tcPr>
                  <w:tcW w:w="957" w:type="pct"/>
                  <w:vAlign w:val="center"/>
                </w:tcPr>
                <w:p>
                  <w:pPr>
                    <w:adjustRightInd w:val="0"/>
                    <w:snapToGrid w:val="0"/>
                    <w:jc w:val="center"/>
                    <w:rPr>
                      <w:b/>
                      <w:szCs w:val="21"/>
                    </w:rPr>
                  </w:pPr>
                  <w:r>
                    <w:rPr>
                      <w:b/>
                      <w:szCs w:val="21"/>
                    </w:rPr>
                    <w:t>环保设施名称</w:t>
                  </w:r>
                </w:p>
              </w:tc>
              <w:tc>
                <w:tcPr>
                  <w:tcW w:w="689" w:type="pct"/>
                  <w:tcBorders>
                    <w:right w:val="single" w:color="auto" w:sz="4" w:space="0"/>
                  </w:tcBorders>
                  <w:vAlign w:val="center"/>
                </w:tcPr>
                <w:p>
                  <w:pPr>
                    <w:adjustRightInd w:val="0"/>
                    <w:snapToGrid w:val="0"/>
                    <w:jc w:val="center"/>
                    <w:rPr>
                      <w:b/>
                      <w:szCs w:val="21"/>
                    </w:rPr>
                  </w:pPr>
                  <w:r>
                    <w:rPr>
                      <w:rFonts w:hint="eastAsia"/>
                      <w:b/>
                      <w:szCs w:val="21"/>
                    </w:rPr>
                    <w:t>设计能力</w:t>
                  </w:r>
                </w:p>
              </w:tc>
              <w:tc>
                <w:tcPr>
                  <w:tcW w:w="654" w:type="pct"/>
                  <w:tcBorders>
                    <w:left w:val="single" w:color="auto" w:sz="4" w:space="0"/>
                  </w:tcBorders>
                  <w:vAlign w:val="center"/>
                </w:tcPr>
                <w:p>
                  <w:pPr>
                    <w:adjustRightInd w:val="0"/>
                    <w:snapToGrid w:val="0"/>
                    <w:jc w:val="center"/>
                    <w:rPr>
                      <w:b/>
                      <w:szCs w:val="21"/>
                    </w:rPr>
                  </w:pPr>
                  <w:r>
                    <w:rPr>
                      <w:b/>
                      <w:szCs w:val="21"/>
                    </w:rPr>
                    <w:t>环保投资（万元</w:t>
                  </w:r>
                  <w:r>
                    <w:rPr>
                      <w:rFonts w:hint="eastAsia"/>
                      <w:b/>
                      <w:szCs w:val="21"/>
                    </w:rPr>
                    <w:t>）</w:t>
                  </w:r>
                </w:p>
              </w:tc>
              <w:tc>
                <w:tcPr>
                  <w:tcW w:w="1655" w:type="pct"/>
                  <w:vAlign w:val="center"/>
                </w:tcPr>
                <w:p>
                  <w:pPr>
                    <w:adjustRightInd w:val="0"/>
                    <w:snapToGrid w:val="0"/>
                    <w:jc w:val="center"/>
                    <w:rPr>
                      <w:b/>
                      <w:szCs w:val="21"/>
                    </w:rPr>
                  </w:pPr>
                  <w:r>
                    <w:rPr>
                      <w:b/>
                      <w:szCs w:val="21"/>
                    </w:rPr>
                    <w:t>处理效果</w:t>
                  </w:r>
                </w:p>
              </w:tc>
              <w:tc>
                <w:tcPr>
                  <w:tcW w:w="443" w:type="pct"/>
                  <w:vAlign w:val="center"/>
                </w:tcPr>
                <w:p>
                  <w:pPr>
                    <w:adjustRightInd w:val="0"/>
                    <w:snapToGrid w:val="0"/>
                    <w:jc w:val="center"/>
                    <w:rPr>
                      <w:b/>
                      <w:kern w:val="0"/>
                      <w:szCs w:val="21"/>
                    </w:rPr>
                  </w:pPr>
                  <w:r>
                    <w:rPr>
                      <w:b/>
                      <w:kern w:val="0"/>
                      <w:szCs w:val="21"/>
                    </w:rPr>
                    <w:t>进度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600" w:type="pct"/>
                  <w:vMerge w:val="restart"/>
                  <w:vAlign w:val="center"/>
                </w:tcPr>
                <w:p>
                  <w:pPr>
                    <w:adjustRightInd w:val="0"/>
                    <w:snapToGrid w:val="0"/>
                    <w:jc w:val="center"/>
                    <w:rPr>
                      <w:szCs w:val="21"/>
                    </w:rPr>
                  </w:pPr>
                  <w:r>
                    <w:rPr>
                      <w:szCs w:val="21"/>
                    </w:rPr>
                    <w:t>废气</w:t>
                  </w:r>
                </w:p>
              </w:tc>
              <w:tc>
                <w:tcPr>
                  <w:tcW w:w="957" w:type="pct"/>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eastAsia"/>
                      <w:szCs w:val="21"/>
                    </w:rPr>
                    <w:t>排气筒</w:t>
                  </w:r>
                  <w:r>
                    <w:rPr>
                      <w:rFonts w:hint="eastAsia"/>
                      <w:szCs w:val="21"/>
                      <w:lang w:val="en-US" w:eastAsia="zh-CN"/>
                    </w:rPr>
                    <w:t>1#</w:t>
                  </w:r>
                </w:p>
              </w:tc>
              <w:tc>
                <w:tcPr>
                  <w:tcW w:w="689" w:type="pct"/>
                  <w:tcBorders>
                    <w:right w:val="single" w:color="auto" w:sz="4" w:space="0"/>
                  </w:tcBorders>
                  <w:vAlign w:val="center"/>
                </w:tcPr>
                <w:p>
                  <w:pPr>
                    <w:adjustRightInd w:val="0"/>
                    <w:snapToGrid w:val="0"/>
                    <w:jc w:val="center"/>
                    <w:rPr>
                      <w:rFonts w:ascii="Times New Roman" w:hAnsi="Times New Roman" w:eastAsia="宋体" w:cs="Times New Roman"/>
                      <w:kern w:val="2"/>
                      <w:sz w:val="21"/>
                      <w:szCs w:val="21"/>
                      <w:lang w:val="en-US" w:eastAsia="zh-CN" w:bidi="ar-SA"/>
                    </w:rPr>
                  </w:pPr>
                  <w:r>
                    <w:rPr>
                      <w:rFonts w:hint="eastAsia"/>
                      <w:szCs w:val="21"/>
                    </w:rPr>
                    <w:t>15m</w:t>
                  </w:r>
                </w:p>
              </w:tc>
              <w:tc>
                <w:tcPr>
                  <w:tcW w:w="654" w:type="pct"/>
                  <w:tcBorders>
                    <w:left w:val="single" w:color="auto" w:sz="4" w:space="0"/>
                  </w:tcBorders>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4</w:t>
                  </w:r>
                </w:p>
              </w:tc>
              <w:tc>
                <w:tcPr>
                  <w:tcW w:w="1655" w:type="pct"/>
                  <w:vAlign w:val="center"/>
                </w:tcPr>
                <w:p>
                  <w:pPr>
                    <w:adjustRightInd w:val="0"/>
                    <w:snapToGrid w:val="0"/>
                    <w:jc w:val="center"/>
                    <w:rPr>
                      <w:rFonts w:ascii="Times New Roman" w:hAnsi="Times New Roman" w:eastAsia="宋体" w:cs="Times New Roman"/>
                      <w:kern w:val="2"/>
                      <w:sz w:val="21"/>
                      <w:szCs w:val="21"/>
                      <w:lang w:val="en-US" w:eastAsia="zh-CN" w:bidi="ar-SA"/>
                    </w:rPr>
                  </w:pPr>
                  <w:r>
                    <w:rPr>
                      <w:rFonts w:hint="eastAsia"/>
                      <w:szCs w:val="21"/>
                    </w:rPr>
                    <w:t>-</w:t>
                  </w:r>
                </w:p>
              </w:tc>
              <w:tc>
                <w:tcPr>
                  <w:tcW w:w="443" w:type="pct"/>
                  <w:vMerge w:val="restart"/>
                  <w:vAlign w:val="center"/>
                </w:tcPr>
                <w:p>
                  <w:pPr>
                    <w:adjustRightInd w:val="0"/>
                    <w:snapToGrid w:val="0"/>
                    <w:jc w:val="center"/>
                    <w:rPr>
                      <w:bCs/>
                      <w:szCs w:val="21"/>
                    </w:rPr>
                  </w:pPr>
                  <w:r>
                    <w:rPr>
                      <w:bCs/>
                      <w:szCs w:val="21"/>
                    </w:rPr>
                    <w:t>与本项目同时设计，同时施工，同时投入运行</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600" w:type="pct"/>
                  <w:vMerge w:val="continue"/>
                  <w:vAlign w:val="center"/>
                </w:tcPr>
                <w:p>
                  <w:pPr>
                    <w:adjustRightInd w:val="0"/>
                    <w:snapToGrid w:val="0"/>
                    <w:jc w:val="center"/>
                    <w:rPr>
                      <w:szCs w:val="21"/>
                    </w:rPr>
                  </w:pPr>
                </w:p>
              </w:tc>
              <w:tc>
                <w:tcPr>
                  <w:tcW w:w="957" w:type="pct"/>
                  <w:vAlign w:val="center"/>
                </w:tcPr>
                <w:p>
                  <w:pPr>
                    <w:adjustRightInd w:val="0"/>
                    <w:snapToGrid w:val="0"/>
                    <w:jc w:val="center"/>
                    <w:rPr>
                      <w:szCs w:val="21"/>
                    </w:rPr>
                  </w:pPr>
                  <w:r>
                    <w:rPr>
                      <w:rFonts w:hint="eastAsia"/>
                      <w:szCs w:val="21"/>
                    </w:rPr>
                    <w:t>布袋除尘器</w:t>
                  </w:r>
                </w:p>
              </w:tc>
              <w:tc>
                <w:tcPr>
                  <w:tcW w:w="689" w:type="pct"/>
                  <w:tcBorders>
                    <w:right w:val="single" w:color="auto" w:sz="4" w:space="0"/>
                  </w:tcBorders>
                  <w:vAlign w:val="center"/>
                </w:tcPr>
                <w:p>
                  <w:pPr>
                    <w:adjustRightInd w:val="0"/>
                    <w:snapToGrid w:val="0"/>
                    <w:jc w:val="center"/>
                    <w:rPr>
                      <w:szCs w:val="21"/>
                    </w:rPr>
                  </w:pPr>
                  <w:r>
                    <w:rPr>
                      <w:rFonts w:hint="eastAsia"/>
                      <w:szCs w:val="21"/>
                    </w:rPr>
                    <w:t>5000m</w:t>
                  </w:r>
                  <w:r>
                    <w:rPr>
                      <w:rFonts w:hint="eastAsia"/>
                      <w:szCs w:val="21"/>
                      <w:vertAlign w:val="superscript"/>
                    </w:rPr>
                    <w:t>3</w:t>
                  </w:r>
                  <w:r>
                    <w:rPr>
                      <w:rFonts w:hint="eastAsia"/>
                      <w:szCs w:val="21"/>
                    </w:rPr>
                    <w:t>/h</w:t>
                  </w:r>
                </w:p>
              </w:tc>
              <w:tc>
                <w:tcPr>
                  <w:tcW w:w="654" w:type="pct"/>
                  <w:tcBorders>
                    <w:left w:val="single" w:color="auto" w:sz="4" w:space="0"/>
                  </w:tcBorders>
                  <w:vAlign w:val="center"/>
                </w:tcPr>
                <w:p>
                  <w:pPr>
                    <w:adjustRightInd w:val="0"/>
                    <w:snapToGrid w:val="0"/>
                    <w:jc w:val="center"/>
                    <w:rPr>
                      <w:szCs w:val="21"/>
                    </w:rPr>
                  </w:pPr>
                  <w:r>
                    <w:rPr>
                      <w:rFonts w:hint="eastAsia"/>
                      <w:szCs w:val="21"/>
                    </w:rPr>
                    <w:t>5</w:t>
                  </w:r>
                </w:p>
              </w:tc>
              <w:tc>
                <w:tcPr>
                  <w:tcW w:w="1655" w:type="pct"/>
                  <w:vAlign w:val="center"/>
                </w:tcPr>
                <w:p>
                  <w:pPr>
                    <w:adjustRightInd w:val="0"/>
                    <w:snapToGrid w:val="0"/>
                    <w:jc w:val="center"/>
                    <w:rPr>
                      <w:szCs w:val="21"/>
                    </w:rPr>
                  </w:pPr>
                  <w:r>
                    <w:rPr>
                      <w:szCs w:val="21"/>
                    </w:rPr>
                    <w:t>《大气污染物综合排放标准》（GB16297-1996）表2中</w:t>
                  </w:r>
                  <w:r>
                    <w:rPr>
                      <w:rFonts w:hint="eastAsia"/>
                      <w:szCs w:val="21"/>
                    </w:rPr>
                    <w:t>二级标准</w:t>
                  </w:r>
                </w:p>
              </w:tc>
              <w:tc>
                <w:tcPr>
                  <w:tcW w:w="443" w:type="pct"/>
                  <w:vMerge w:val="continue"/>
                  <w:vAlign w:val="center"/>
                </w:tcPr>
                <w:p>
                  <w:pPr>
                    <w:adjustRightInd w:val="0"/>
                    <w:snapToGrid w:val="0"/>
                    <w:jc w:val="center"/>
                    <w:rPr>
                      <w:kern w:val="0"/>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600" w:type="pct"/>
                  <w:vAlign w:val="center"/>
                </w:tcPr>
                <w:p>
                  <w:pPr>
                    <w:adjustRightInd w:val="0"/>
                    <w:snapToGrid w:val="0"/>
                    <w:jc w:val="center"/>
                    <w:rPr>
                      <w:szCs w:val="21"/>
                    </w:rPr>
                  </w:pPr>
                  <w:r>
                    <w:rPr>
                      <w:rFonts w:hint="eastAsia"/>
                      <w:szCs w:val="21"/>
                    </w:rPr>
                    <w:t>废水</w:t>
                  </w:r>
                </w:p>
              </w:tc>
              <w:tc>
                <w:tcPr>
                  <w:tcW w:w="957" w:type="pct"/>
                  <w:vAlign w:val="center"/>
                </w:tcPr>
                <w:p>
                  <w:pPr>
                    <w:adjustRightInd w:val="0"/>
                    <w:snapToGrid w:val="0"/>
                    <w:jc w:val="center"/>
                    <w:rPr>
                      <w:szCs w:val="21"/>
                    </w:rPr>
                  </w:pPr>
                  <w:r>
                    <w:rPr>
                      <w:rFonts w:hint="eastAsia"/>
                      <w:szCs w:val="21"/>
                    </w:rPr>
                    <w:t>地埋式污水处理设施</w:t>
                  </w:r>
                </w:p>
              </w:tc>
              <w:tc>
                <w:tcPr>
                  <w:tcW w:w="689" w:type="pct"/>
                  <w:tcBorders>
                    <w:right w:val="single" w:color="auto" w:sz="4" w:space="0"/>
                  </w:tcBorders>
                  <w:vAlign w:val="center"/>
                </w:tcPr>
                <w:p>
                  <w:pPr>
                    <w:adjustRightInd w:val="0"/>
                    <w:snapToGrid w:val="0"/>
                    <w:jc w:val="center"/>
                    <w:rPr>
                      <w:szCs w:val="21"/>
                    </w:rPr>
                  </w:pPr>
                  <w:r>
                    <w:rPr>
                      <w:rFonts w:hint="eastAsia"/>
                      <w:szCs w:val="21"/>
                    </w:rPr>
                    <w:t>0.2t/d</w:t>
                  </w:r>
                </w:p>
              </w:tc>
              <w:tc>
                <w:tcPr>
                  <w:tcW w:w="654" w:type="pct"/>
                  <w:tcBorders>
                    <w:left w:val="single" w:color="auto" w:sz="4" w:space="0"/>
                  </w:tcBorders>
                  <w:vAlign w:val="center"/>
                </w:tcPr>
                <w:p>
                  <w:pPr>
                    <w:adjustRightInd w:val="0"/>
                    <w:snapToGrid w:val="0"/>
                    <w:jc w:val="center"/>
                    <w:rPr>
                      <w:szCs w:val="21"/>
                    </w:rPr>
                  </w:pPr>
                  <w:r>
                    <w:rPr>
                      <w:rFonts w:hint="eastAsia"/>
                      <w:szCs w:val="21"/>
                    </w:rPr>
                    <w:t>5</w:t>
                  </w:r>
                </w:p>
              </w:tc>
              <w:tc>
                <w:tcPr>
                  <w:tcW w:w="1655" w:type="pct"/>
                  <w:vAlign w:val="center"/>
                </w:tcPr>
                <w:p>
                  <w:pPr>
                    <w:adjustRightInd w:val="0"/>
                    <w:snapToGrid w:val="0"/>
                    <w:jc w:val="center"/>
                    <w:rPr>
                      <w:szCs w:val="21"/>
                    </w:rPr>
                  </w:pPr>
                  <w:r>
                    <w:rPr>
                      <w:rFonts w:hint="eastAsia"/>
                      <w:szCs w:val="21"/>
                    </w:rPr>
                    <w:t>达《城市污水再生利用绿地灌溉水质》（GB/T 25499-2010）</w:t>
                  </w:r>
                  <w:r>
                    <w:rPr>
                      <w:szCs w:val="21"/>
                    </w:rPr>
                    <w:t>中城市绿化水质标准</w:t>
                  </w:r>
                </w:p>
              </w:tc>
              <w:tc>
                <w:tcPr>
                  <w:tcW w:w="443" w:type="pct"/>
                  <w:vMerge w:val="continue"/>
                  <w:vAlign w:val="center"/>
                </w:tcPr>
                <w:p>
                  <w:pPr>
                    <w:adjustRightInd w:val="0"/>
                    <w:snapToGrid w:val="0"/>
                    <w:jc w:val="center"/>
                    <w:rPr>
                      <w:kern w:val="0"/>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600" w:type="pct"/>
                  <w:vAlign w:val="center"/>
                </w:tcPr>
                <w:p>
                  <w:pPr>
                    <w:adjustRightInd w:val="0"/>
                    <w:snapToGrid w:val="0"/>
                    <w:jc w:val="center"/>
                    <w:rPr>
                      <w:szCs w:val="21"/>
                    </w:rPr>
                  </w:pPr>
                  <w:r>
                    <w:rPr>
                      <w:rFonts w:hint="eastAsia"/>
                      <w:szCs w:val="21"/>
                    </w:rPr>
                    <w:t>噪声</w:t>
                  </w:r>
                </w:p>
              </w:tc>
              <w:tc>
                <w:tcPr>
                  <w:tcW w:w="957" w:type="pct"/>
                  <w:vAlign w:val="center"/>
                </w:tcPr>
                <w:p>
                  <w:pPr>
                    <w:adjustRightInd w:val="0"/>
                    <w:snapToGrid w:val="0"/>
                    <w:jc w:val="center"/>
                    <w:rPr>
                      <w:szCs w:val="21"/>
                    </w:rPr>
                  </w:pPr>
                  <w:r>
                    <w:rPr>
                      <w:rFonts w:hint="eastAsia"/>
                      <w:szCs w:val="21"/>
                    </w:rPr>
                    <w:t>设备减振、厂房隔声</w:t>
                  </w:r>
                </w:p>
              </w:tc>
              <w:tc>
                <w:tcPr>
                  <w:tcW w:w="689" w:type="pct"/>
                  <w:tcBorders>
                    <w:right w:val="single" w:color="auto" w:sz="4" w:space="0"/>
                  </w:tcBorders>
                  <w:vAlign w:val="center"/>
                </w:tcPr>
                <w:p>
                  <w:pPr>
                    <w:adjustRightInd w:val="0"/>
                    <w:snapToGrid w:val="0"/>
                    <w:jc w:val="center"/>
                    <w:rPr>
                      <w:szCs w:val="21"/>
                    </w:rPr>
                  </w:pPr>
                  <w:r>
                    <w:rPr>
                      <w:szCs w:val="21"/>
                    </w:rPr>
                    <w:t>—</w:t>
                  </w:r>
                </w:p>
              </w:tc>
              <w:tc>
                <w:tcPr>
                  <w:tcW w:w="654" w:type="pct"/>
                  <w:tcBorders>
                    <w:left w:val="single" w:color="auto" w:sz="4" w:space="0"/>
                  </w:tcBorders>
                  <w:vAlign w:val="center"/>
                </w:tcPr>
                <w:p>
                  <w:pPr>
                    <w:adjustRightInd w:val="0"/>
                    <w:snapToGrid w:val="0"/>
                    <w:jc w:val="center"/>
                    <w:rPr>
                      <w:szCs w:val="21"/>
                    </w:rPr>
                  </w:pPr>
                  <w:r>
                    <w:rPr>
                      <w:rFonts w:hint="eastAsia"/>
                      <w:szCs w:val="21"/>
                    </w:rPr>
                    <w:t>3</w:t>
                  </w:r>
                </w:p>
              </w:tc>
              <w:tc>
                <w:tcPr>
                  <w:tcW w:w="1655" w:type="pct"/>
                  <w:vAlign w:val="center"/>
                </w:tcPr>
                <w:p>
                  <w:pPr>
                    <w:adjustRightInd w:val="0"/>
                    <w:snapToGrid w:val="0"/>
                    <w:jc w:val="center"/>
                    <w:rPr>
                      <w:szCs w:val="21"/>
                    </w:rPr>
                  </w:pPr>
                  <w:r>
                    <w:rPr>
                      <w:szCs w:val="21"/>
                    </w:rPr>
                    <w:t>《工业企业厂界环境噪声排放标准》（GB12348-2008）</w:t>
                  </w:r>
                  <w:r>
                    <w:rPr>
                      <w:rFonts w:hint="eastAsia"/>
                      <w:szCs w:val="21"/>
                    </w:rPr>
                    <w:t>2</w:t>
                  </w:r>
                  <w:r>
                    <w:rPr>
                      <w:szCs w:val="21"/>
                    </w:rPr>
                    <w:t>类标准</w:t>
                  </w:r>
                </w:p>
              </w:tc>
              <w:tc>
                <w:tcPr>
                  <w:tcW w:w="443" w:type="pct"/>
                  <w:vMerge w:val="continue"/>
                  <w:vAlign w:val="center"/>
                </w:tcPr>
                <w:p>
                  <w:pPr>
                    <w:adjustRightInd w:val="0"/>
                    <w:snapToGrid w:val="0"/>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600" w:type="pct"/>
                  <w:vAlign w:val="center"/>
                </w:tcPr>
                <w:p>
                  <w:pPr>
                    <w:adjustRightInd w:val="0"/>
                    <w:snapToGrid w:val="0"/>
                    <w:jc w:val="center"/>
                    <w:rPr>
                      <w:szCs w:val="21"/>
                    </w:rPr>
                  </w:pPr>
                  <w:r>
                    <w:rPr>
                      <w:rFonts w:hint="eastAsia"/>
                      <w:szCs w:val="21"/>
                    </w:rPr>
                    <w:t>固废</w:t>
                  </w:r>
                </w:p>
              </w:tc>
              <w:tc>
                <w:tcPr>
                  <w:tcW w:w="957" w:type="pct"/>
                  <w:vAlign w:val="center"/>
                </w:tcPr>
                <w:p>
                  <w:pPr>
                    <w:adjustRightInd w:val="0"/>
                    <w:snapToGrid w:val="0"/>
                    <w:jc w:val="center"/>
                    <w:rPr>
                      <w:szCs w:val="21"/>
                    </w:rPr>
                  </w:pPr>
                  <w:r>
                    <w:rPr>
                      <w:rFonts w:hint="eastAsia"/>
                      <w:szCs w:val="21"/>
                    </w:rPr>
                    <w:t>一般固废堆场</w:t>
                  </w:r>
                </w:p>
              </w:tc>
              <w:tc>
                <w:tcPr>
                  <w:tcW w:w="689" w:type="pct"/>
                  <w:tcBorders>
                    <w:right w:val="single" w:color="auto" w:sz="4" w:space="0"/>
                  </w:tcBorders>
                  <w:vAlign w:val="center"/>
                </w:tcPr>
                <w:p>
                  <w:pPr>
                    <w:adjustRightInd w:val="0"/>
                    <w:snapToGrid w:val="0"/>
                    <w:jc w:val="center"/>
                    <w:rPr>
                      <w:szCs w:val="21"/>
                    </w:rPr>
                  </w:pPr>
                  <w:r>
                    <w:rPr>
                      <w:rFonts w:hint="eastAsia"/>
                      <w:szCs w:val="21"/>
                    </w:rPr>
                    <w:t>10m</w:t>
                  </w:r>
                  <w:r>
                    <w:rPr>
                      <w:rFonts w:hint="eastAsia"/>
                      <w:szCs w:val="21"/>
                      <w:vertAlign w:val="superscript"/>
                    </w:rPr>
                    <w:t>2</w:t>
                  </w:r>
                </w:p>
              </w:tc>
              <w:tc>
                <w:tcPr>
                  <w:tcW w:w="654" w:type="pct"/>
                  <w:tcBorders>
                    <w:left w:val="single" w:color="auto" w:sz="4" w:space="0"/>
                  </w:tcBorders>
                  <w:vAlign w:val="center"/>
                </w:tcPr>
                <w:p>
                  <w:pPr>
                    <w:adjustRightInd w:val="0"/>
                    <w:snapToGrid w:val="0"/>
                    <w:jc w:val="center"/>
                    <w:rPr>
                      <w:szCs w:val="21"/>
                    </w:rPr>
                  </w:pPr>
                  <w:r>
                    <w:rPr>
                      <w:rFonts w:hint="eastAsia"/>
                      <w:szCs w:val="21"/>
                    </w:rPr>
                    <w:t>2</w:t>
                  </w:r>
                </w:p>
              </w:tc>
              <w:tc>
                <w:tcPr>
                  <w:tcW w:w="1655" w:type="pct"/>
                  <w:vAlign w:val="center"/>
                </w:tcPr>
                <w:p>
                  <w:pPr>
                    <w:adjustRightInd w:val="0"/>
                    <w:snapToGrid w:val="0"/>
                    <w:jc w:val="center"/>
                    <w:rPr>
                      <w:szCs w:val="21"/>
                    </w:rPr>
                  </w:pPr>
                  <w:r>
                    <w:rPr>
                      <w:rFonts w:hint="eastAsia"/>
                      <w:szCs w:val="21"/>
                    </w:rPr>
                    <w:t>-</w:t>
                  </w:r>
                </w:p>
              </w:tc>
              <w:tc>
                <w:tcPr>
                  <w:tcW w:w="443" w:type="pct"/>
                  <w:vMerge w:val="continue"/>
                  <w:vAlign w:val="center"/>
                </w:tcPr>
                <w:p>
                  <w:pPr>
                    <w:adjustRightInd w:val="0"/>
                    <w:snapToGrid w:val="0"/>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6" w:hRule="atLeast"/>
              </w:trPr>
              <w:tc>
                <w:tcPr>
                  <w:tcW w:w="1557" w:type="pct"/>
                  <w:gridSpan w:val="2"/>
                  <w:vAlign w:val="center"/>
                </w:tcPr>
                <w:p>
                  <w:pPr>
                    <w:adjustRightInd w:val="0"/>
                    <w:snapToGrid w:val="0"/>
                    <w:jc w:val="center"/>
                    <w:rPr>
                      <w:szCs w:val="21"/>
                    </w:rPr>
                  </w:pPr>
                  <w:r>
                    <w:rPr>
                      <w:rFonts w:hint="eastAsia"/>
                      <w:szCs w:val="21"/>
                    </w:rPr>
                    <w:t>合计</w:t>
                  </w:r>
                </w:p>
              </w:tc>
              <w:tc>
                <w:tcPr>
                  <w:tcW w:w="689" w:type="pct"/>
                  <w:tcBorders>
                    <w:right w:val="single" w:color="auto" w:sz="4" w:space="0"/>
                  </w:tcBorders>
                  <w:vAlign w:val="center"/>
                </w:tcPr>
                <w:p>
                  <w:pPr>
                    <w:adjustRightInd w:val="0"/>
                    <w:snapToGrid w:val="0"/>
                    <w:jc w:val="center"/>
                    <w:rPr>
                      <w:szCs w:val="21"/>
                    </w:rPr>
                  </w:pPr>
                </w:p>
              </w:tc>
              <w:tc>
                <w:tcPr>
                  <w:tcW w:w="654" w:type="pct"/>
                  <w:tcBorders>
                    <w:left w:val="single" w:color="auto" w:sz="4" w:space="0"/>
                  </w:tcBorders>
                  <w:vAlign w:val="center"/>
                </w:tcPr>
                <w:p>
                  <w:pPr>
                    <w:adjustRightInd w:val="0"/>
                    <w:snapToGrid w:val="0"/>
                    <w:jc w:val="center"/>
                    <w:rPr>
                      <w:rFonts w:hint="default" w:eastAsia="宋体"/>
                      <w:szCs w:val="21"/>
                      <w:lang w:val="en-US" w:eastAsia="zh-CN"/>
                    </w:rPr>
                  </w:pPr>
                  <w:r>
                    <w:rPr>
                      <w:rFonts w:hint="eastAsia"/>
                      <w:szCs w:val="21"/>
                      <w:lang w:val="en-US" w:eastAsia="zh-CN"/>
                    </w:rPr>
                    <w:t>19</w:t>
                  </w:r>
                </w:p>
              </w:tc>
              <w:tc>
                <w:tcPr>
                  <w:tcW w:w="1655" w:type="pct"/>
                  <w:vAlign w:val="center"/>
                </w:tcPr>
                <w:p>
                  <w:pPr>
                    <w:adjustRightInd w:val="0"/>
                    <w:snapToGrid w:val="0"/>
                    <w:jc w:val="center"/>
                    <w:rPr>
                      <w:szCs w:val="21"/>
                    </w:rPr>
                  </w:pPr>
                </w:p>
              </w:tc>
              <w:tc>
                <w:tcPr>
                  <w:tcW w:w="443" w:type="pct"/>
                  <w:vMerge w:val="continue"/>
                  <w:vAlign w:val="center"/>
                </w:tcPr>
                <w:p>
                  <w:pPr>
                    <w:adjustRightInd w:val="0"/>
                    <w:snapToGrid w:val="0"/>
                    <w:jc w:val="center"/>
                    <w:rPr>
                      <w:kern w:val="0"/>
                      <w:szCs w:val="21"/>
                    </w:rPr>
                  </w:pPr>
                </w:p>
              </w:tc>
            </w:tr>
          </w:tbl>
          <w:p>
            <w:pPr>
              <w:spacing w:line="360" w:lineRule="auto"/>
              <w:rPr>
                <w:sz w:val="24"/>
              </w:rPr>
            </w:pPr>
          </w:p>
        </w:tc>
      </w:tr>
    </w:tbl>
    <w:p>
      <w:pPr>
        <w:pStyle w:val="3"/>
        <w:rPr>
          <w:rFonts w:eastAsia="宋体"/>
        </w:rPr>
      </w:pPr>
      <w:r>
        <w:rPr>
          <w:rFonts w:hint="eastAsia" w:eastAsia="宋体"/>
        </w:rPr>
        <w:t>九、</w:t>
      </w:r>
      <w:r>
        <w:rPr>
          <w:rFonts w:eastAsia="宋体"/>
        </w:rPr>
        <w:t>结论与建议</w:t>
      </w:r>
    </w:p>
    <w:tbl>
      <w:tblPr>
        <w:tblStyle w:val="33"/>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3" w:hRule="atLeast"/>
        </w:trPr>
        <w:tc>
          <w:tcPr>
            <w:tcW w:w="8356" w:type="dxa"/>
          </w:tcPr>
          <w:p>
            <w:pPr>
              <w:spacing w:line="360" w:lineRule="auto"/>
              <w:rPr>
                <w:sz w:val="24"/>
              </w:rPr>
            </w:pPr>
            <w:r>
              <w:rPr>
                <w:b/>
                <w:bCs/>
                <w:sz w:val="24"/>
              </w:rPr>
              <w:t>一、结论</w:t>
            </w:r>
          </w:p>
          <w:p>
            <w:pPr>
              <w:pStyle w:val="20"/>
              <w:tabs>
                <w:tab w:val="left" w:pos="851"/>
                <w:tab w:val="left" w:pos="1134"/>
                <w:tab w:val="left" w:pos="1276"/>
              </w:tabs>
              <w:rPr>
                <w:color w:val="auto"/>
                <w:szCs w:val="24"/>
              </w:rPr>
            </w:pPr>
            <w:r>
              <w:rPr>
                <w:rFonts w:hint="eastAsia"/>
                <w:color w:val="auto"/>
                <w:szCs w:val="24"/>
              </w:rPr>
              <w:t>1、项目概况</w:t>
            </w:r>
          </w:p>
          <w:p>
            <w:pPr>
              <w:spacing w:line="360" w:lineRule="auto"/>
              <w:ind w:firstLine="480" w:firstLineChars="200"/>
              <w:rPr>
                <w:sz w:val="24"/>
                <w:szCs w:val="24"/>
              </w:rPr>
            </w:pPr>
            <w:r>
              <w:rPr>
                <w:rFonts w:hint="eastAsia"/>
                <w:sz w:val="24"/>
                <w:szCs w:val="24"/>
              </w:rPr>
              <w:t>沭阳县光旺木制品有限公司投资200万元人民币，在</w:t>
            </w:r>
            <w:r>
              <w:rPr>
                <w:rFonts w:hint="eastAsia" w:hAnsi="宋体"/>
                <w:sz w:val="24"/>
                <w:szCs w:val="24"/>
              </w:rPr>
              <w:t>沭阳县龙庙镇朱庄村三组38号</w:t>
            </w:r>
            <w:r>
              <w:rPr>
                <w:rFonts w:hint="eastAsia"/>
                <w:sz w:val="24"/>
                <w:szCs w:val="24"/>
              </w:rPr>
              <w:t>，租赁厂房及配套用房1500平方米，新购置木粉粉碎机、筛粉机、漂白机等设备，项目建成投产后，将形成年产木质纤维粉3000吨的生产能力，本项目已于2018年11月6日至沭阳县发改局完成项目备案（沭发改备[2018]281号）。</w:t>
            </w:r>
          </w:p>
          <w:p>
            <w:pPr>
              <w:pStyle w:val="20"/>
              <w:tabs>
                <w:tab w:val="left" w:pos="851"/>
                <w:tab w:val="left" w:pos="1134"/>
                <w:tab w:val="left" w:pos="1276"/>
              </w:tabs>
              <w:rPr>
                <w:color w:val="auto"/>
                <w:szCs w:val="24"/>
              </w:rPr>
            </w:pPr>
            <w:r>
              <w:rPr>
                <w:rFonts w:hint="eastAsia"/>
                <w:color w:val="auto"/>
                <w:szCs w:val="24"/>
              </w:rPr>
              <w:t>2、产业政策相符性</w:t>
            </w:r>
          </w:p>
          <w:p>
            <w:pPr>
              <w:spacing w:line="360" w:lineRule="auto"/>
              <w:ind w:firstLine="480" w:firstLineChars="200"/>
              <w:rPr>
                <w:kern w:val="0"/>
                <w:sz w:val="24"/>
              </w:rPr>
            </w:pPr>
            <w:r>
              <w:rPr>
                <w:rFonts w:hint="eastAsia"/>
                <w:kern w:val="0"/>
                <w:sz w:val="24"/>
              </w:rPr>
              <w:t>本项目</w:t>
            </w:r>
            <w:r>
              <w:rPr>
                <w:kern w:val="0"/>
                <w:sz w:val="24"/>
              </w:rPr>
              <w:t>不属于《产业结构调整指导目录</w:t>
            </w:r>
            <w:r>
              <w:rPr>
                <w:rFonts w:ascii="宋体" w:hAnsi="宋体"/>
                <w:kern w:val="0"/>
                <w:sz w:val="24"/>
              </w:rPr>
              <w:t>(</w:t>
            </w:r>
            <w:r>
              <w:rPr>
                <w:kern w:val="0"/>
                <w:sz w:val="24"/>
              </w:rPr>
              <w:t>2011年本</w:t>
            </w:r>
            <w:r>
              <w:rPr>
                <w:rFonts w:ascii="宋体" w:hAnsi="宋体"/>
                <w:kern w:val="0"/>
                <w:sz w:val="24"/>
              </w:rPr>
              <w:t>)</w:t>
            </w:r>
            <w:r>
              <w:rPr>
                <w:kern w:val="0"/>
                <w:sz w:val="24"/>
              </w:rPr>
              <w:t>》及《国家发展改革委关于修改&lt;产业结构调整指导目录（2011年本）&gt;有关条款的决定》中规定的</w:t>
            </w:r>
            <w:r>
              <w:rPr>
                <w:rFonts w:ascii="宋体" w:hAnsi="宋体"/>
                <w:kern w:val="0"/>
                <w:sz w:val="24"/>
              </w:rPr>
              <w:t>“限制类”和“淘汰类”</w:t>
            </w:r>
            <w:r>
              <w:rPr>
                <w:kern w:val="0"/>
                <w:sz w:val="24"/>
              </w:rPr>
              <w:t>中所列其他条款，同时也不属于《江苏省工业和信息产业结构调整指导目录（2012年本）》（苏政办发[2013]9号）</w:t>
            </w:r>
            <w:r>
              <w:rPr>
                <w:rFonts w:hint="eastAsia"/>
                <w:sz w:val="24"/>
                <w:szCs w:val="24"/>
              </w:rPr>
              <w:t>及《江苏省工业和信息产业结构调整限值淘汰目录和能耗限额的通知》苏政办发[2015]118 号文</w:t>
            </w:r>
            <w:r>
              <w:rPr>
                <w:sz w:val="24"/>
                <w:szCs w:val="24"/>
              </w:rPr>
              <w:t>中限制类和淘汰类，为允许类</w:t>
            </w:r>
            <w:r>
              <w:rPr>
                <w:rFonts w:hint="eastAsia"/>
                <w:sz w:val="24"/>
                <w:szCs w:val="24"/>
              </w:rPr>
              <w:t>。</w:t>
            </w:r>
            <w:r>
              <w:rPr>
                <w:kern w:val="0"/>
                <w:sz w:val="24"/>
              </w:rPr>
              <w:t>符合国家及江苏省产业政策的各项相关规定。</w:t>
            </w:r>
          </w:p>
          <w:p>
            <w:pPr>
              <w:spacing w:line="360" w:lineRule="auto"/>
              <w:ind w:firstLine="480" w:firstLineChars="200"/>
              <w:rPr>
                <w:sz w:val="24"/>
              </w:rPr>
            </w:pPr>
            <w:r>
              <w:rPr>
                <w:rFonts w:hint="eastAsia"/>
                <w:kern w:val="0"/>
                <w:sz w:val="24"/>
              </w:rPr>
              <w:t>本</w:t>
            </w:r>
            <w:r>
              <w:rPr>
                <w:kern w:val="0"/>
                <w:sz w:val="24"/>
              </w:rPr>
              <w:t>项目不属于《限制用地项目目录（2012年本）》、《禁止用地项目目录（2012年本）》中限制和禁止项目，同时也不属于《江苏省限制用地项目目录（2013年本）》和《江苏省禁止用地项目目录（2013年本）》中限制和禁止用地项目</w:t>
            </w:r>
            <w:r>
              <w:rPr>
                <w:rFonts w:hint="eastAsia"/>
                <w:kern w:val="0"/>
                <w:sz w:val="24"/>
              </w:rPr>
              <w:t>。</w:t>
            </w:r>
          </w:p>
          <w:p>
            <w:pPr>
              <w:pStyle w:val="20"/>
              <w:tabs>
                <w:tab w:val="left" w:pos="851"/>
                <w:tab w:val="left" w:pos="1134"/>
                <w:tab w:val="left" w:pos="1276"/>
              </w:tabs>
              <w:rPr>
                <w:color w:val="auto"/>
              </w:rPr>
            </w:pPr>
            <w:r>
              <w:rPr>
                <w:rFonts w:hint="eastAsia"/>
                <w:color w:val="auto"/>
              </w:rPr>
              <w:t>3、规划相符性</w:t>
            </w:r>
          </w:p>
          <w:p>
            <w:pPr>
              <w:pStyle w:val="20"/>
              <w:tabs>
                <w:tab w:val="left" w:pos="851"/>
                <w:tab w:val="left" w:pos="1134"/>
                <w:tab w:val="left" w:pos="1276"/>
              </w:tabs>
              <w:rPr>
                <w:color w:val="auto"/>
              </w:rPr>
            </w:pPr>
            <w:r>
              <w:rPr>
                <w:rFonts w:hint="eastAsia"/>
                <w:color w:val="auto"/>
              </w:rPr>
              <w:t>本</w:t>
            </w:r>
            <w:r>
              <w:rPr>
                <w:color w:val="auto"/>
              </w:rPr>
              <w:t>项目</w:t>
            </w:r>
            <w:r>
              <w:rPr>
                <w:rFonts w:hint="eastAsia"/>
                <w:color w:val="auto"/>
              </w:rPr>
              <w:t>地址</w:t>
            </w:r>
            <w:r>
              <w:rPr>
                <w:color w:val="auto"/>
              </w:rPr>
              <w:t>位于</w:t>
            </w:r>
            <w:r>
              <w:rPr>
                <w:rFonts w:hint="eastAsia" w:hAnsi="宋体"/>
                <w:color w:val="auto"/>
                <w:szCs w:val="24"/>
              </w:rPr>
              <w:t>沭阳县龙庙镇朱庄村三组38号</w:t>
            </w:r>
            <w:r>
              <w:rPr>
                <w:color w:val="auto"/>
              </w:rPr>
              <w:t>，</w:t>
            </w:r>
            <w:r>
              <w:rPr>
                <w:rFonts w:hint="eastAsia"/>
                <w:color w:val="auto"/>
              </w:rPr>
              <w:t>项目用地</w:t>
            </w:r>
            <w:r>
              <w:rPr>
                <w:color w:val="auto"/>
              </w:rPr>
              <w:t>属工业用地，</w:t>
            </w:r>
            <w:r>
              <w:rPr>
                <w:rFonts w:hint="eastAsia"/>
                <w:color w:val="auto"/>
              </w:rPr>
              <w:t>选址符合园区用地规划要求，选址有一定的区位优势，符合用地总体规划和环境规划要求。</w:t>
            </w:r>
          </w:p>
          <w:p>
            <w:pPr>
              <w:spacing w:line="360" w:lineRule="auto"/>
              <w:ind w:firstLine="480" w:firstLineChars="200"/>
              <w:rPr>
                <w:sz w:val="24"/>
                <w:szCs w:val="24"/>
              </w:rPr>
            </w:pPr>
            <w:r>
              <w:rPr>
                <w:rFonts w:hint="eastAsia"/>
                <w:sz w:val="24"/>
                <w:szCs w:val="24"/>
              </w:rPr>
              <w:t>4</w:t>
            </w:r>
            <w:r>
              <w:rPr>
                <w:sz w:val="24"/>
                <w:szCs w:val="24"/>
              </w:rPr>
              <w:t>、环境质量现状</w:t>
            </w:r>
          </w:p>
          <w:p>
            <w:pPr>
              <w:spacing w:line="360" w:lineRule="auto"/>
              <w:ind w:firstLine="480" w:firstLineChars="200"/>
              <w:rPr>
                <w:rFonts w:hint="eastAsia"/>
                <w:sz w:val="24"/>
              </w:rPr>
            </w:pPr>
            <w:r>
              <w:rPr>
                <w:rFonts w:hint="eastAsia"/>
                <w:sz w:val="24"/>
              </w:rPr>
              <w:t>环境空气质量现状：</w:t>
            </w:r>
            <w:r>
              <w:rPr>
                <w:rFonts w:ascii="Times New Roman" w:hAnsi="Times New Roman"/>
                <w:sz w:val="24"/>
                <w:szCs w:val="23"/>
              </w:rPr>
              <w:t>根据《2018</w:t>
            </w:r>
            <w:r>
              <w:rPr>
                <w:rFonts w:hint="eastAsia" w:ascii="Times New Roman" w:hAnsi="Times New Roman"/>
                <w:sz w:val="24"/>
                <w:szCs w:val="23"/>
                <w:lang w:eastAsia="zh-CN"/>
              </w:rPr>
              <w:t>沭阳</w:t>
            </w:r>
            <w:r>
              <w:rPr>
                <w:rFonts w:ascii="Times New Roman" w:hAnsi="Times New Roman"/>
                <w:sz w:val="24"/>
                <w:szCs w:val="23"/>
              </w:rPr>
              <w:t>环境质量报告书》中公开的监测数据，对照《环境空气质量标准》（GB3095-2012），SO</w:t>
            </w:r>
            <w:r>
              <w:rPr>
                <w:rFonts w:ascii="Times New Roman" w:hAnsi="Times New Roman"/>
                <w:sz w:val="24"/>
                <w:szCs w:val="16"/>
                <w:vertAlign w:val="subscript"/>
              </w:rPr>
              <w:t>2</w:t>
            </w:r>
            <w:r>
              <w:rPr>
                <w:rFonts w:ascii="Times New Roman" w:hAnsi="Times New Roman"/>
                <w:sz w:val="24"/>
                <w:szCs w:val="23"/>
              </w:rPr>
              <w:t>、NO</w:t>
            </w:r>
            <w:r>
              <w:rPr>
                <w:rFonts w:ascii="Times New Roman" w:hAnsi="Times New Roman"/>
                <w:sz w:val="24"/>
                <w:szCs w:val="16"/>
                <w:vertAlign w:val="subscript"/>
              </w:rPr>
              <w:t>2</w:t>
            </w:r>
            <w:r>
              <w:rPr>
                <w:rFonts w:ascii="Times New Roman" w:hAnsi="Times New Roman"/>
                <w:sz w:val="24"/>
                <w:szCs w:val="23"/>
              </w:rPr>
              <w:t>、O</w:t>
            </w:r>
            <w:r>
              <w:rPr>
                <w:rFonts w:ascii="Times New Roman" w:hAnsi="Times New Roman"/>
                <w:sz w:val="24"/>
                <w:szCs w:val="16"/>
                <w:vertAlign w:val="subscript"/>
              </w:rPr>
              <w:t>3</w:t>
            </w:r>
            <w:r>
              <w:rPr>
                <w:rFonts w:ascii="Times New Roman" w:hAnsi="Times New Roman"/>
                <w:sz w:val="24"/>
                <w:szCs w:val="23"/>
              </w:rPr>
              <w:t>、CO</w:t>
            </w:r>
            <w:r>
              <w:rPr>
                <w:rFonts w:hint="eastAsia" w:ascii="Times New Roman" w:hAnsi="Times New Roman"/>
                <w:sz w:val="24"/>
                <w:szCs w:val="23"/>
              </w:rPr>
              <w:t>四</w:t>
            </w:r>
            <w:r>
              <w:rPr>
                <w:rFonts w:ascii="Times New Roman" w:hAnsi="Times New Roman"/>
                <w:sz w:val="24"/>
                <w:szCs w:val="23"/>
              </w:rPr>
              <w:t>项基本污染物达标，PM</w:t>
            </w:r>
            <w:r>
              <w:rPr>
                <w:rFonts w:ascii="Times New Roman" w:hAnsi="Times New Roman"/>
                <w:sz w:val="24"/>
                <w:szCs w:val="16"/>
                <w:vertAlign w:val="subscript"/>
              </w:rPr>
              <w:t>10</w:t>
            </w:r>
            <w:r>
              <w:rPr>
                <w:rFonts w:ascii="Times New Roman" w:hAnsi="Times New Roman"/>
                <w:sz w:val="24"/>
                <w:szCs w:val="23"/>
              </w:rPr>
              <w:t>、PM</w:t>
            </w:r>
            <w:r>
              <w:rPr>
                <w:rFonts w:ascii="Times New Roman" w:hAnsi="Times New Roman"/>
                <w:sz w:val="24"/>
                <w:szCs w:val="16"/>
                <w:vertAlign w:val="subscript"/>
              </w:rPr>
              <w:t>2.5</w:t>
            </w:r>
            <w:r>
              <w:rPr>
                <w:rFonts w:hint="eastAsia" w:ascii="Times New Roman" w:hAnsi="Times New Roman"/>
                <w:sz w:val="24"/>
                <w:szCs w:val="16"/>
              </w:rPr>
              <w:t>两</w:t>
            </w:r>
            <w:r>
              <w:rPr>
                <w:rFonts w:ascii="Times New Roman" w:hAnsi="Times New Roman"/>
                <w:sz w:val="24"/>
                <w:szCs w:val="23"/>
              </w:rPr>
              <w:t>项基本污染物不达标，因此判定项目所在区域环境质量不达标</w:t>
            </w:r>
            <w:r>
              <w:rPr>
                <w:rFonts w:ascii="Times New Roman" w:hAnsi="Times New Roman"/>
                <w:sz w:val="24"/>
              </w:rPr>
              <w:t>。</w:t>
            </w:r>
          </w:p>
          <w:p>
            <w:pPr>
              <w:spacing w:line="360" w:lineRule="auto"/>
              <w:ind w:firstLine="480" w:firstLineChars="200"/>
              <w:rPr>
                <w:sz w:val="24"/>
              </w:rPr>
            </w:pPr>
            <w:r>
              <w:rPr>
                <w:rFonts w:hint="eastAsia"/>
                <w:sz w:val="24"/>
              </w:rPr>
              <w:t>水环境质量现状：建设项目周边主要河流为</w:t>
            </w:r>
            <w:r>
              <w:rPr>
                <w:rFonts w:hint="eastAsia"/>
                <w:sz w:val="24"/>
                <w:szCs w:val="24"/>
              </w:rPr>
              <w:t>新沂</w:t>
            </w:r>
            <w:r>
              <w:rPr>
                <w:rFonts w:hint="eastAsia"/>
                <w:sz w:val="24"/>
              </w:rPr>
              <w:t>河，其水质满足《地表水环境质量标准》</w:t>
            </w:r>
            <w:r>
              <w:rPr>
                <w:rFonts w:hint="eastAsia" w:ascii="宋体" w:hAnsi="宋体"/>
                <w:sz w:val="24"/>
              </w:rPr>
              <w:t>(</w:t>
            </w:r>
            <w:r>
              <w:rPr>
                <w:rFonts w:hint="eastAsia"/>
                <w:sz w:val="24"/>
              </w:rPr>
              <w:t>GB3838-2002</w:t>
            </w:r>
            <w:r>
              <w:rPr>
                <w:rFonts w:hint="eastAsia" w:ascii="宋体" w:hAnsi="宋体"/>
                <w:sz w:val="24"/>
              </w:rPr>
              <w:t>)</w:t>
            </w:r>
            <w:r>
              <w:rPr>
                <w:rFonts w:hint="eastAsia"/>
                <w:sz w:val="24"/>
              </w:rPr>
              <w:t>中III类标准要求</w:t>
            </w:r>
          </w:p>
          <w:p>
            <w:pPr>
              <w:spacing w:line="360" w:lineRule="auto"/>
              <w:ind w:firstLine="480" w:firstLineChars="200"/>
              <w:rPr>
                <w:sz w:val="24"/>
              </w:rPr>
            </w:pPr>
            <w:r>
              <w:rPr>
                <w:rFonts w:hint="eastAsia"/>
                <w:sz w:val="24"/>
              </w:rPr>
              <w:t>声环境质量现状：项目所在区域声环境质量良好，能达到《声环境质量标准》（GB3096-2008）中的2类标准。</w:t>
            </w:r>
          </w:p>
          <w:p>
            <w:pPr>
              <w:spacing w:line="360" w:lineRule="auto"/>
              <w:ind w:firstLine="480" w:firstLineChars="200"/>
              <w:rPr>
                <w:sz w:val="24"/>
              </w:rPr>
            </w:pPr>
            <w:r>
              <w:rPr>
                <w:rFonts w:hint="eastAsia"/>
                <w:sz w:val="24"/>
              </w:rPr>
              <w:t>5</w:t>
            </w:r>
            <w:r>
              <w:rPr>
                <w:sz w:val="24"/>
              </w:rPr>
              <w:t>、达标排放和污染物控制</w:t>
            </w:r>
          </w:p>
          <w:p>
            <w:pPr>
              <w:spacing w:line="360" w:lineRule="auto"/>
              <w:ind w:firstLine="480" w:firstLineChars="200"/>
              <w:rPr>
                <w:sz w:val="24"/>
              </w:rPr>
            </w:pPr>
            <w:r>
              <w:rPr>
                <w:sz w:val="24"/>
              </w:rPr>
              <w:t>（1）废气</w:t>
            </w:r>
          </w:p>
          <w:p>
            <w:pPr>
              <w:spacing w:line="360" w:lineRule="auto"/>
              <w:ind w:firstLine="480" w:firstLineChars="200"/>
              <w:rPr>
                <w:sz w:val="24"/>
                <w:szCs w:val="24"/>
              </w:rPr>
            </w:pPr>
            <w:r>
              <w:rPr>
                <w:rFonts w:hint="eastAsia"/>
                <w:sz w:val="24"/>
                <w:szCs w:val="24"/>
              </w:rPr>
              <w:t>建设项目有组织废气为生产过程中产生的粉尘。</w:t>
            </w:r>
          </w:p>
          <w:p>
            <w:pPr>
              <w:spacing w:line="360" w:lineRule="auto"/>
              <w:ind w:firstLine="480" w:firstLineChars="200"/>
              <w:rPr>
                <w:sz w:val="24"/>
                <w:szCs w:val="24"/>
              </w:rPr>
            </w:pPr>
            <w:r>
              <w:rPr>
                <w:rFonts w:hint="eastAsia"/>
                <w:sz w:val="24"/>
                <w:szCs w:val="24"/>
              </w:rPr>
              <w:t>本项目筛分</w:t>
            </w:r>
            <w:r>
              <w:rPr>
                <w:sz w:val="24"/>
                <w:szCs w:val="24"/>
              </w:rPr>
              <w:t>过程中会产生</w:t>
            </w:r>
            <w:r>
              <w:rPr>
                <w:rFonts w:hint="eastAsia"/>
                <w:sz w:val="24"/>
                <w:szCs w:val="24"/>
              </w:rPr>
              <w:t>粉</w:t>
            </w:r>
            <w:r>
              <w:rPr>
                <w:sz w:val="24"/>
                <w:szCs w:val="24"/>
              </w:rPr>
              <w:t>尘，</w:t>
            </w:r>
            <w:r>
              <w:rPr>
                <w:rFonts w:hint="eastAsia"/>
                <w:sz w:val="24"/>
                <w:szCs w:val="24"/>
              </w:rPr>
              <w:t>根据</w:t>
            </w:r>
            <w:r>
              <w:rPr>
                <w:sz w:val="24"/>
                <w:szCs w:val="24"/>
              </w:rPr>
              <w:t>工程分析</w:t>
            </w:r>
            <w:r>
              <w:rPr>
                <w:rFonts w:hint="eastAsia"/>
                <w:sz w:val="24"/>
                <w:szCs w:val="24"/>
              </w:rPr>
              <w:t>粉尘</w:t>
            </w:r>
            <w:r>
              <w:rPr>
                <w:sz w:val="24"/>
                <w:szCs w:val="24"/>
              </w:rPr>
              <w:t>产生量为</w:t>
            </w:r>
            <w:r>
              <w:rPr>
                <w:rFonts w:hint="eastAsia"/>
                <w:sz w:val="24"/>
                <w:szCs w:val="24"/>
              </w:rPr>
              <w:t>3</w:t>
            </w:r>
            <w:r>
              <w:rPr>
                <w:sz w:val="24"/>
                <w:szCs w:val="24"/>
              </w:rPr>
              <w:t>t/a</w:t>
            </w:r>
            <w:r>
              <w:rPr>
                <w:rFonts w:hint="eastAsia"/>
                <w:sz w:val="24"/>
                <w:szCs w:val="24"/>
              </w:rPr>
              <w:t>，</w:t>
            </w:r>
            <w:r>
              <w:rPr>
                <w:sz w:val="24"/>
                <w:szCs w:val="24"/>
              </w:rPr>
              <w:t>此部分废气经</w:t>
            </w:r>
            <w:r>
              <w:rPr>
                <w:rFonts w:hint="eastAsia"/>
                <w:sz w:val="24"/>
                <w:szCs w:val="24"/>
              </w:rPr>
              <w:t>集气罩收集后</w:t>
            </w:r>
            <w:r>
              <w:rPr>
                <w:sz w:val="24"/>
                <w:szCs w:val="24"/>
              </w:rPr>
              <w:t>通过</w:t>
            </w:r>
            <w:r>
              <w:rPr>
                <w:rFonts w:hint="eastAsia"/>
                <w:sz w:val="24"/>
                <w:szCs w:val="24"/>
              </w:rPr>
              <w:t>脉冲布袋</w:t>
            </w:r>
            <w:r>
              <w:rPr>
                <w:sz w:val="24"/>
                <w:szCs w:val="24"/>
              </w:rPr>
              <w:t>除尘器处理，最后由1</w:t>
            </w:r>
            <w:r>
              <w:rPr>
                <w:rFonts w:hint="eastAsia"/>
                <w:sz w:val="24"/>
                <w:szCs w:val="24"/>
              </w:rPr>
              <w:t>根15</w:t>
            </w:r>
            <w:r>
              <w:rPr>
                <w:sz w:val="24"/>
                <w:szCs w:val="24"/>
              </w:rPr>
              <w:t>m排气筒</w:t>
            </w:r>
            <w:r>
              <w:rPr>
                <w:rFonts w:hint="eastAsia"/>
                <w:sz w:val="24"/>
                <w:szCs w:val="24"/>
              </w:rPr>
              <w:t>（2#）</w:t>
            </w:r>
            <w:r>
              <w:rPr>
                <w:sz w:val="24"/>
                <w:szCs w:val="24"/>
              </w:rPr>
              <w:t>排放，</w:t>
            </w:r>
            <w:r>
              <w:rPr>
                <w:rFonts w:hint="eastAsia"/>
                <w:sz w:val="24"/>
                <w:szCs w:val="24"/>
              </w:rPr>
              <w:t>集气罩</w:t>
            </w:r>
            <w:r>
              <w:rPr>
                <w:sz w:val="24"/>
                <w:szCs w:val="24"/>
              </w:rPr>
              <w:t>收集效率为</w:t>
            </w:r>
            <w:r>
              <w:rPr>
                <w:rFonts w:hint="eastAsia"/>
                <w:sz w:val="24"/>
                <w:szCs w:val="24"/>
              </w:rPr>
              <w:t>90</w:t>
            </w:r>
            <w:r>
              <w:rPr>
                <w:sz w:val="24"/>
                <w:szCs w:val="24"/>
              </w:rPr>
              <w:t>%，</w:t>
            </w:r>
            <w:r>
              <w:rPr>
                <w:rFonts w:hint="eastAsia"/>
                <w:sz w:val="24"/>
                <w:szCs w:val="24"/>
              </w:rPr>
              <w:t>脉冲布袋</w:t>
            </w:r>
            <w:r>
              <w:rPr>
                <w:sz w:val="24"/>
                <w:szCs w:val="24"/>
              </w:rPr>
              <w:t>除尘器</w:t>
            </w:r>
            <w:r>
              <w:rPr>
                <w:rFonts w:hint="eastAsia"/>
                <w:sz w:val="24"/>
                <w:szCs w:val="24"/>
              </w:rPr>
              <w:t>处理</w:t>
            </w:r>
            <w:r>
              <w:rPr>
                <w:sz w:val="24"/>
                <w:szCs w:val="24"/>
              </w:rPr>
              <w:t>效率为</w:t>
            </w:r>
            <w:r>
              <w:rPr>
                <w:rFonts w:hint="eastAsia"/>
                <w:sz w:val="24"/>
                <w:szCs w:val="24"/>
              </w:rPr>
              <w:t>99</w:t>
            </w:r>
            <w:r>
              <w:rPr>
                <w:sz w:val="24"/>
                <w:szCs w:val="24"/>
              </w:rPr>
              <w:t>%</w:t>
            </w:r>
            <w:r>
              <w:rPr>
                <w:rFonts w:hint="eastAsia"/>
                <w:sz w:val="24"/>
                <w:szCs w:val="24"/>
              </w:rPr>
              <w:t>，</w:t>
            </w:r>
            <w:r>
              <w:rPr>
                <w:sz w:val="24"/>
                <w:szCs w:val="24"/>
              </w:rPr>
              <w:t>引风机</w:t>
            </w:r>
            <w:r>
              <w:rPr>
                <w:rFonts w:hint="eastAsia"/>
                <w:sz w:val="24"/>
                <w:szCs w:val="24"/>
              </w:rPr>
              <w:t>风量</w:t>
            </w:r>
            <w:r>
              <w:rPr>
                <w:sz w:val="24"/>
                <w:szCs w:val="24"/>
              </w:rPr>
              <w:t>按照</w:t>
            </w:r>
            <w:r>
              <w:rPr>
                <w:rFonts w:hint="eastAsia"/>
                <w:sz w:val="24"/>
                <w:szCs w:val="24"/>
              </w:rPr>
              <w:t>5000</w:t>
            </w:r>
            <w:r>
              <w:rPr>
                <w:sz w:val="24"/>
                <w:szCs w:val="24"/>
              </w:rPr>
              <w:t>m</w:t>
            </w:r>
            <w:r>
              <w:rPr>
                <w:sz w:val="24"/>
                <w:szCs w:val="24"/>
                <w:vertAlign w:val="superscript"/>
              </w:rPr>
              <w:t>3</w:t>
            </w:r>
            <w:r>
              <w:rPr>
                <w:sz w:val="24"/>
                <w:szCs w:val="24"/>
              </w:rPr>
              <w:t>/h</w:t>
            </w:r>
            <w:r>
              <w:rPr>
                <w:rFonts w:hint="eastAsia"/>
                <w:sz w:val="24"/>
                <w:szCs w:val="24"/>
              </w:rPr>
              <w:t>计</w:t>
            </w:r>
            <w:r>
              <w:rPr>
                <w:sz w:val="24"/>
                <w:szCs w:val="24"/>
              </w:rPr>
              <w:t>，有组织粉尘产生量为</w:t>
            </w:r>
            <w:r>
              <w:rPr>
                <w:rFonts w:hint="eastAsia"/>
                <w:sz w:val="24"/>
                <w:szCs w:val="24"/>
              </w:rPr>
              <w:t>2</w:t>
            </w:r>
            <w:r>
              <w:rPr>
                <w:sz w:val="24"/>
                <w:szCs w:val="24"/>
              </w:rPr>
              <w:t>.</w:t>
            </w:r>
            <w:r>
              <w:rPr>
                <w:rFonts w:hint="eastAsia"/>
                <w:sz w:val="24"/>
                <w:szCs w:val="24"/>
              </w:rPr>
              <w:t>7</w:t>
            </w:r>
            <w:r>
              <w:rPr>
                <w:sz w:val="24"/>
                <w:szCs w:val="24"/>
              </w:rPr>
              <w:t>t/a</w:t>
            </w:r>
            <w:r>
              <w:rPr>
                <w:rFonts w:hint="eastAsia"/>
                <w:sz w:val="24"/>
                <w:szCs w:val="24"/>
              </w:rPr>
              <w:t>，</w:t>
            </w:r>
            <w:r>
              <w:rPr>
                <w:sz w:val="24"/>
                <w:szCs w:val="24"/>
              </w:rPr>
              <w:t>产生浓度为</w:t>
            </w:r>
            <w:r>
              <w:rPr>
                <w:rFonts w:hint="eastAsia"/>
                <w:sz w:val="24"/>
                <w:szCs w:val="24"/>
              </w:rPr>
              <w:t>241</w:t>
            </w:r>
            <w:r>
              <w:rPr>
                <w:sz w:val="24"/>
                <w:szCs w:val="24"/>
              </w:rPr>
              <w:t>.</w:t>
            </w:r>
            <w:r>
              <w:rPr>
                <w:rFonts w:hint="eastAsia"/>
                <w:sz w:val="24"/>
                <w:szCs w:val="24"/>
              </w:rPr>
              <w:t>071</w:t>
            </w:r>
            <w:r>
              <w:rPr>
                <w:sz w:val="24"/>
                <w:szCs w:val="24"/>
              </w:rPr>
              <w:t>mg/m</w:t>
            </w:r>
            <w:r>
              <w:rPr>
                <w:sz w:val="24"/>
                <w:szCs w:val="24"/>
                <w:vertAlign w:val="superscript"/>
              </w:rPr>
              <w:t>3</w:t>
            </w:r>
            <w:r>
              <w:rPr>
                <w:rFonts w:hint="eastAsia"/>
                <w:sz w:val="24"/>
                <w:szCs w:val="24"/>
              </w:rPr>
              <w:t>，排放量</w:t>
            </w:r>
            <w:r>
              <w:rPr>
                <w:sz w:val="24"/>
                <w:szCs w:val="24"/>
              </w:rPr>
              <w:t>为</w:t>
            </w:r>
            <w:r>
              <w:rPr>
                <w:rFonts w:hint="eastAsia"/>
                <w:sz w:val="24"/>
                <w:szCs w:val="24"/>
              </w:rPr>
              <w:t>0.027</w:t>
            </w:r>
            <w:r>
              <w:rPr>
                <w:sz w:val="24"/>
                <w:szCs w:val="24"/>
              </w:rPr>
              <w:t>t/a</w:t>
            </w:r>
            <w:r>
              <w:rPr>
                <w:rFonts w:hint="eastAsia"/>
                <w:sz w:val="24"/>
                <w:szCs w:val="24"/>
              </w:rPr>
              <w:t>，排放</w:t>
            </w:r>
            <w:r>
              <w:rPr>
                <w:sz w:val="24"/>
                <w:szCs w:val="24"/>
              </w:rPr>
              <w:t>速率为</w:t>
            </w:r>
            <w:r>
              <w:rPr>
                <w:rFonts w:hint="eastAsia"/>
                <w:sz w:val="24"/>
                <w:szCs w:val="24"/>
              </w:rPr>
              <w:t>0.012</w:t>
            </w:r>
            <w:r>
              <w:rPr>
                <w:sz w:val="24"/>
                <w:szCs w:val="24"/>
              </w:rPr>
              <w:t>kg/h</w:t>
            </w:r>
            <w:r>
              <w:rPr>
                <w:rFonts w:hint="eastAsia"/>
                <w:sz w:val="24"/>
                <w:szCs w:val="24"/>
              </w:rPr>
              <w:t>，排放</w:t>
            </w:r>
            <w:r>
              <w:rPr>
                <w:sz w:val="24"/>
                <w:szCs w:val="24"/>
              </w:rPr>
              <w:t>浓度为</w:t>
            </w:r>
            <w:r>
              <w:rPr>
                <w:rFonts w:hint="eastAsia"/>
                <w:sz w:val="24"/>
                <w:szCs w:val="24"/>
              </w:rPr>
              <w:t>2</w:t>
            </w:r>
            <w:r>
              <w:rPr>
                <w:sz w:val="24"/>
                <w:szCs w:val="24"/>
              </w:rPr>
              <w:t>.</w:t>
            </w:r>
            <w:r>
              <w:rPr>
                <w:rFonts w:hint="eastAsia"/>
                <w:sz w:val="24"/>
                <w:szCs w:val="24"/>
              </w:rPr>
              <w:t>411</w:t>
            </w:r>
            <w:r>
              <w:rPr>
                <w:sz w:val="24"/>
                <w:szCs w:val="24"/>
              </w:rPr>
              <w:t>mg/m</w:t>
            </w:r>
            <w:r>
              <w:rPr>
                <w:sz w:val="24"/>
                <w:szCs w:val="24"/>
                <w:vertAlign w:val="superscript"/>
              </w:rPr>
              <w:t>3</w:t>
            </w:r>
            <w:r>
              <w:rPr>
                <w:rFonts w:hint="eastAsia"/>
                <w:sz w:val="24"/>
                <w:szCs w:val="24"/>
              </w:rPr>
              <w:t>。由计算可知，本项目有组织粉尘排放达到《大气污染物综合排放标准》(GB16297-1996)表2中二级排放标准即最高允许排放浓度12</w:t>
            </w:r>
            <w:r>
              <w:rPr>
                <w:sz w:val="24"/>
                <w:szCs w:val="24"/>
              </w:rPr>
              <w:t>0</w:t>
            </w:r>
            <w:r>
              <w:rPr>
                <w:rFonts w:hint="eastAsia"/>
                <w:sz w:val="24"/>
                <w:szCs w:val="24"/>
              </w:rPr>
              <w:t>mg/m</w:t>
            </w:r>
            <w:r>
              <w:rPr>
                <w:rFonts w:hint="eastAsia"/>
                <w:sz w:val="24"/>
                <w:szCs w:val="24"/>
                <w:vertAlign w:val="superscript"/>
              </w:rPr>
              <w:t>3</w:t>
            </w:r>
            <w:r>
              <w:rPr>
                <w:rFonts w:hint="eastAsia"/>
                <w:sz w:val="24"/>
                <w:szCs w:val="24"/>
              </w:rPr>
              <w:t>，最高允许排放速率3.5kg/h的要求</w:t>
            </w:r>
            <w:r>
              <w:rPr>
                <w:rFonts w:hint="eastAsia"/>
                <w:sz w:val="24"/>
                <w:szCs w:val="24"/>
                <w:lang w:eastAsia="zh-CN"/>
              </w:rPr>
              <w:t>。</w:t>
            </w:r>
            <w:r>
              <w:rPr>
                <w:rFonts w:hint="eastAsia"/>
                <w:sz w:val="24"/>
                <w:szCs w:val="24"/>
              </w:rPr>
              <w:t>对周围环境空气质量影响较小，周围环境空气质量仍能维持现有功能等级。</w:t>
            </w:r>
          </w:p>
          <w:p>
            <w:pPr>
              <w:adjustRightInd w:val="0"/>
              <w:snapToGrid w:val="0"/>
              <w:spacing w:line="360" w:lineRule="auto"/>
              <w:ind w:firstLine="480" w:firstLineChars="200"/>
              <w:rPr>
                <w:rFonts w:hAnsi="宋体"/>
                <w:sz w:val="24"/>
                <w:szCs w:val="24"/>
              </w:rPr>
            </w:pPr>
            <w:r>
              <w:rPr>
                <w:rFonts w:hint="eastAsia" w:hAnsi="宋体"/>
                <w:sz w:val="24"/>
                <w:szCs w:val="24"/>
              </w:rPr>
              <w:t>建设项目无组织废气主要为</w:t>
            </w:r>
            <w:r>
              <w:rPr>
                <w:rFonts w:hint="eastAsia"/>
                <w:sz w:val="24"/>
                <w:szCs w:val="24"/>
              </w:rPr>
              <w:t>筛分过程中未收集的粉尘、干漂过程中未收集的</w:t>
            </w:r>
            <w:r>
              <w:rPr>
                <w:rFonts w:hint="eastAsia" w:hAnsi="宋体"/>
                <w:sz w:val="24"/>
                <w:szCs w:val="24"/>
              </w:rPr>
              <w:t>少量投料粉尘。通过加强</w:t>
            </w:r>
            <w:r>
              <w:rPr>
                <w:rFonts w:hAnsi="宋体"/>
                <w:sz w:val="24"/>
                <w:szCs w:val="24"/>
              </w:rPr>
              <w:t>通风排气措施，</w:t>
            </w:r>
            <w:r>
              <w:rPr>
                <w:rFonts w:hint="eastAsia" w:hAnsi="宋体"/>
                <w:sz w:val="24"/>
                <w:szCs w:val="24"/>
              </w:rPr>
              <w:t>粉尘厂界可满足</w:t>
            </w:r>
            <w:r>
              <w:rPr>
                <w:rFonts w:hint="eastAsia"/>
                <w:sz w:val="24"/>
                <w:szCs w:val="24"/>
              </w:rPr>
              <w:t>《大气污染物综合排放标准》（GB16297-1996）表2颗粒物无组织排放监控浓度限值</w:t>
            </w:r>
            <w:r>
              <w:rPr>
                <w:sz w:val="24"/>
                <w:szCs w:val="24"/>
              </w:rPr>
              <w:t>1</w:t>
            </w:r>
            <w:r>
              <w:rPr>
                <w:rFonts w:hint="eastAsia"/>
                <w:sz w:val="24"/>
                <w:szCs w:val="24"/>
              </w:rPr>
              <w:t>mg/m</w:t>
            </w:r>
            <w:r>
              <w:rPr>
                <w:rFonts w:hint="eastAsia"/>
                <w:sz w:val="24"/>
                <w:szCs w:val="24"/>
                <w:vertAlign w:val="superscript"/>
              </w:rPr>
              <w:t>3</w:t>
            </w:r>
            <w:r>
              <w:rPr>
                <w:rFonts w:hint="eastAsia" w:hAnsi="宋体"/>
                <w:sz w:val="24"/>
                <w:szCs w:val="24"/>
              </w:rPr>
              <w:t>要求。</w:t>
            </w:r>
          </w:p>
          <w:p>
            <w:pPr>
              <w:adjustRightInd w:val="0"/>
              <w:snapToGrid w:val="0"/>
              <w:spacing w:line="360" w:lineRule="auto"/>
              <w:ind w:firstLine="480" w:firstLineChars="200"/>
              <w:rPr>
                <w:rFonts w:hAnsi="宋体"/>
                <w:sz w:val="24"/>
                <w:szCs w:val="24"/>
              </w:rPr>
            </w:pPr>
            <w:r>
              <w:rPr>
                <w:rFonts w:hint="eastAsia" w:hAnsi="宋体"/>
                <w:sz w:val="24"/>
                <w:szCs w:val="24"/>
              </w:rPr>
              <w:t>综上所述，本项目建成投产之后废气均可达标排放，可满足环境管理要求。</w:t>
            </w:r>
          </w:p>
          <w:p>
            <w:pPr>
              <w:spacing w:line="360" w:lineRule="auto"/>
              <w:ind w:firstLine="360" w:firstLineChars="150"/>
              <w:rPr>
                <w:sz w:val="24"/>
              </w:rPr>
            </w:pPr>
            <w:r>
              <w:rPr>
                <w:sz w:val="24"/>
              </w:rPr>
              <w:t>（2）废水</w:t>
            </w:r>
          </w:p>
          <w:p>
            <w:pPr>
              <w:spacing w:line="360" w:lineRule="auto"/>
              <w:ind w:firstLine="480" w:firstLineChars="200"/>
              <w:rPr>
                <w:sz w:val="24"/>
                <w:szCs w:val="24"/>
              </w:rPr>
            </w:pPr>
            <w:r>
              <w:rPr>
                <w:sz w:val="24"/>
                <w:szCs w:val="24"/>
              </w:rPr>
              <w:t>建设项目废水</w:t>
            </w:r>
            <w:r>
              <w:rPr>
                <w:rFonts w:hint="eastAsia"/>
                <w:sz w:val="24"/>
                <w:szCs w:val="24"/>
              </w:rPr>
              <w:t>主要为生活污水，产生量为56t/a，</w:t>
            </w:r>
            <w:r>
              <w:rPr>
                <w:sz w:val="24"/>
                <w:szCs w:val="24"/>
              </w:rPr>
              <w:t>生活污水</w:t>
            </w:r>
            <w:r>
              <w:rPr>
                <w:rFonts w:hint="eastAsia"/>
                <w:sz w:val="24"/>
                <w:szCs w:val="24"/>
              </w:rPr>
              <w:t>经</w:t>
            </w:r>
            <w:r>
              <w:rPr>
                <w:sz w:val="24"/>
                <w:szCs w:val="24"/>
              </w:rPr>
              <w:t>地埋式污水处理设施处理</w:t>
            </w:r>
            <w:r>
              <w:rPr>
                <w:rFonts w:hint="eastAsia"/>
                <w:sz w:val="24"/>
                <w:szCs w:val="24"/>
              </w:rPr>
              <w:t>后</w:t>
            </w:r>
            <w:r>
              <w:rPr>
                <w:sz w:val="24"/>
                <w:szCs w:val="24"/>
              </w:rPr>
              <w:t>满足</w:t>
            </w:r>
            <w:r>
              <w:rPr>
                <w:rFonts w:hint="eastAsia"/>
                <w:sz w:val="24"/>
                <w:szCs w:val="24"/>
              </w:rPr>
              <w:t>《城市污水再生利用绿地灌溉水质》（GB/T 25499-2010）</w:t>
            </w:r>
            <w:r>
              <w:rPr>
                <w:sz w:val="24"/>
                <w:szCs w:val="24"/>
              </w:rPr>
              <w:t>中城市绿化水质标准</w:t>
            </w:r>
            <w:r>
              <w:rPr>
                <w:rFonts w:hint="eastAsia"/>
                <w:sz w:val="24"/>
                <w:szCs w:val="24"/>
              </w:rPr>
              <w:t>后回</w:t>
            </w:r>
            <w:r>
              <w:rPr>
                <w:sz w:val="24"/>
                <w:szCs w:val="24"/>
              </w:rPr>
              <w:t>用于厂区绿化</w:t>
            </w:r>
            <w:r>
              <w:rPr>
                <w:rFonts w:hint="eastAsia"/>
                <w:sz w:val="24"/>
                <w:szCs w:val="24"/>
              </w:rPr>
              <w:t>，</w:t>
            </w:r>
            <w:r>
              <w:rPr>
                <w:rFonts w:hint="eastAsia" w:hAnsi="宋体"/>
                <w:sz w:val="24"/>
                <w:szCs w:val="24"/>
              </w:rPr>
              <w:t>不外排，</w:t>
            </w:r>
            <w:r>
              <w:rPr>
                <w:rFonts w:hint="eastAsia"/>
                <w:sz w:val="24"/>
                <w:szCs w:val="24"/>
              </w:rPr>
              <w:t>对周边地表水环境影响较小，可满足环境管理要求。</w:t>
            </w:r>
          </w:p>
          <w:p>
            <w:pPr>
              <w:spacing w:line="360" w:lineRule="auto"/>
              <w:ind w:firstLine="480" w:firstLineChars="200"/>
              <w:rPr>
                <w:sz w:val="24"/>
                <w:szCs w:val="24"/>
              </w:rPr>
            </w:pPr>
            <w:r>
              <w:rPr>
                <w:sz w:val="24"/>
                <w:szCs w:val="24"/>
              </w:rPr>
              <w:t>（3）噪声</w:t>
            </w:r>
          </w:p>
          <w:p>
            <w:pPr>
              <w:spacing w:line="360" w:lineRule="auto"/>
              <w:ind w:firstLine="480" w:firstLineChars="200"/>
              <w:rPr>
                <w:sz w:val="24"/>
              </w:rPr>
            </w:pPr>
            <w:r>
              <w:rPr>
                <w:sz w:val="24"/>
              </w:rPr>
              <w:t>建设项目产生的噪声经厂房隔声和距离衰减后，厂界噪声满足</w:t>
            </w:r>
            <w:r>
              <w:rPr>
                <w:kern w:val="21"/>
                <w:sz w:val="24"/>
              </w:rPr>
              <w:t>《工业企业厂界环境噪声排放标准》（GB12348-2008）</w:t>
            </w:r>
            <w:r>
              <w:rPr>
                <w:rFonts w:hint="eastAsia"/>
                <w:kern w:val="21"/>
                <w:sz w:val="24"/>
              </w:rPr>
              <w:t>2</w:t>
            </w:r>
            <w:r>
              <w:rPr>
                <w:kern w:val="21"/>
                <w:sz w:val="24"/>
              </w:rPr>
              <w:t>类标准</w:t>
            </w:r>
            <w:r>
              <w:rPr>
                <w:sz w:val="24"/>
              </w:rPr>
              <w:t>要，对周围环境影响较小。</w:t>
            </w:r>
          </w:p>
          <w:p>
            <w:pPr>
              <w:spacing w:line="360" w:lineRule="auto"/>
              <w:ind w:firstLine="480" w:firstLineChars="200"/>
              <w:rPr>
                <w:sz w:val="24"/>
              </w:rPr>
            </w:pPr>
            <w:r>
              <w:rPr>
                <w:sz w:val="24"/>
              </w:rPr>
              <w:t>（4）固废</w:t>
            </w:r>
          </w:p>
          <w:p>
            <w:pPr>
              <w:spacing w:line="360" w:lineRule="auto"/>
              <w:ind w:firstLine="480" w:firstLineChars="200"/>
              <w:rPr>
                <w:sz w:val="24"/>
              </w:rPr>
            </w:pPr>
            <w:r>
              <w:rPr>
                <w:sz w:val="24"/>
              </w:rPr>
              <w:t>建设项目产生的固体废物均得到妥善处置，对周围环境影响较小。</w:t>
            </w:r>
          </w:p>
          <w:p>
            <w:pPr>
              <w:spacing w:line="360" w:lineRule="auto"/>
              <w:ind w:firstLine="480" w:firstLineChars="200"/>
              <w:rPr>
                <w:sz w:val="24"/>
              </w:rPr>
            </w:pPr>
            <w:r>
              <w:rPr>
                <w:rFonts w:hint="eastAsia"/>
                <w:sz w:val="24"/>
              </w:rPr>
              <w:t>6</w:t>
            </w:r>
            <w:r>
              <w:rPr>
                <w:sz w:val="24"/>
              </w:rPr>
              <w:t>、</w:t>
            </w:r>
            <w:r>
              <w:rPr>
                <w:sz w:val="24"/>
                <w:szCs w:val="24"/>
              </w:rPr>
              <w:t>总量控制分析</w:t>
            </w:r>
          </w:p>
          <w:p>
            <w:pPr>
              <w:adjustRightInd w:val="0"/>
              <w:snapToGrid w:val="0"/>
              <w:spacing w:line="360" w:lineRule="auto"/>
              <w:ind w:firstLine="480" w:firstLineChars="200"/>
              <w:rPr>
                <w:sz w:val="24"/>
                <w:szCs w:val="24"/>
              </w:rPr>
            </w:pPr>
            <w:r>
              <w:rPr>
                <w:rFonts w:hint="eastAsia"/>
                <w:sz w:val="24"/>
                <w:szCs w:val="24"/>
              </w:rPr>
              <w:t>废水：本项目生活污水经地埋式污水处理设施处理后用于厂区绿化，不外排，不申请总量。</w:t>
            </w:r>
          </w:p>
          <w:p>
            <w:pPr>
              <w:adjustRightInd w:val="0"/>
              <w:snapToGrid w:val="0"/>
              <w:spacing w:line="360" w:lineRule="auto"/>
              <w:ind w:firstLine="480" w:firstLineChars="200"/>
              <w:rPr>
                <w:sz w:val="24"/>
                <w:szCs w:val="24"/>
              </w:rPr>
            </w:pPr>
            <w:r>
              <w:rPr>
                <w:rFonts w:hint="eastAsia"/>
                <w:sz w:val="24"/>
                <w:szCs w:val="24"/>
              </w:rPr>
              <w:t>废气：本项目有组织排放的废气为粉尘</w:t>
            </w:r>
            <w:r>
              <w:rPr>
                <w:sz w:val="24"/>
                <w:szCs w:val="24"/>
              </w:rPr>
              <w:t>0.</w:t>
            </w:r>
            <w:r>
              <w:rPr>
                <w:rFonts w:hint="eastAsia"/>
                <w:sz w:val="24"/>
                <w:szCs w:val="24"/>
              </w:rPr>
              <w:t>027</w:t>
            </w:r>
            <w:r>
              <w:rPr>
                <w:sz w:val="24"/>
                <w:szCs w:val="24"/>
              </w:rPr>
              <w:t>t/a</w:t>
            </w:r>
            <w:r>
              <w:rPr>
                <w:rFonts w:hint="eastAsia"/>
                <w:sz w:val="24"/>
                <w:szCs w:val="24"/>
                <w:lang w:eastAsia="zh-CN"/>
              </w:rPr>
              <w:t>，</w:t>
            </w:r>
            <w:r>
              <w:rPr>
                <w:rFonts w:hint="eastAsia"/>
                <w:sz w:val="24"/>
                <w:szCs w:val="24"/>
              </w:rPr>
              <w:t>向</w:t>
            </w:r>
            <w:r>
              <w:rPr>
                <w:rFonts w:hint="eastAsia"/>
                <w:sz w:val="24"/>
                <w:szCs w:val="24"/>
                <w:lang w:eastAsia="zh-CN"/>
              </w:rPr>
              <w:t>宿迁市沭阳生态环境局</w:t>
            </w:r>
            <w:r>
              <w:rPr>
                <w:rFonts w:hint="eastAsia"/>
                <w:sz w:val="24"/>
                <w:szCs w:val="24"/>
              </w:rPr>
              <w:t>申请总量，在沭阳县区域内平衡。</w:t>
            </w:r>
          </w:p>
          <w:p>
            <w:pPr>
              <w:adjustRightInd w:val="0"/>
              <w:snapToGrid w:val="0"/>
              <w:spacing w:line="360" w:lineRule="auto"/>
              <w:ind w:firstLine="480" w:firstLineChars="200"/>
              <w:rPr>
                <w:sz w:val="24"/>
                <w:szCs w:val="24"/>
              </w:rPr>
            </w:pPr>
            <w:r>
              <w:rPr>
                <w:rFonts w:hint="eastAsia"/>
                <w:sz w:val="24"/>
                <w:szCs w:val="24"/>
              </w:rPr>
              <w:t>固废：建设项目产生的固体废弃物得到妥善处理处置，排放总量为零，不申请总量。</w:t>
            </w:r>
          </w:p>
          <w:p>
            <w:pPr>
              <w:pStyle w:val="17"/>
              <w:ind w:firstLine="480" w:firstLineChars="200"/>
              <w:rPr>
                <w:b/>
              </w:rPr>
            </w:pPr>
            <w:r>
              <w:rPr>
                <w:b/>
              </w:rPr>
              <w:t>综上所述，建设项目符合相关产业政策和规划要求，选址比较合理，采用的各项环保设施合理、可靠、有效，总体上对区域环境影响较小，本评价认为，从环保角度来讲，</w:t>
            </w:r>
            <w:r>
              <w:rPr>
                <w:rFonts w:hint="eastAsia" w:hAnsi="宋体"/>
                <w:b/>
                <w:szCs w:val="24"/>
              </w:rPr>
              <w:t>本</w:t>
            </w:r>
            <w:r>
              <w:rPr>
                <w:rFonts w:hAnsi="宋体"/>
                <w:b/>
                <w:szCs w:val="24"/>
              </w:rPr>
              <w:t>项目</w:t>
            </w:r>
            <w:r>
              <w:rPr>
                <w:rFonts w:hint="eastAsia" w:hAnsi="宋体"/>
                <w:b/>
                <w:szCs w:val="24"/>
              </w:rPr>
              <w:t>在所选地点</w:t>
            </w:r>
            <w:r>
              <w:rPr>
                <w:rFonts w:hAnsi="宋体"/>
                <w:b/>
                <w:szCs w:val="24"/>
              </w:rPr>
              <w:t>建设是可行的</w:t>
            </w:r>
            <w:r>
              <w:rPr>
                <w:b/>
              </w:rPr>
              <w:t>。</w:t>
            </w:r>
          </w:p>
          <w:p>
            <w:pPr>
              <w:spacing w:line="360" w:lineRule="auto"/>
              <w:rPr>
                <w:b/>
                <w:bCs/>
                <w:sz w:val="24"/>
              </w:rPr>
            </w:pPr>
            <w:r>
              <w:rPr>
                <w:b/>
                <w:bCs/>
                <w:sz w:val="24"/>
              </w:rPr>
              <w:t>二、建议</w:t>
            </w:r>
          </w:p>
          <w:p>
            <w:pPr>
              <w:spacing w:line="360" w:lineRule="auto"/>
              <w:ind w:firstLine="480" w:firstLineChars="200"/>
              <w:rPr>
                <w:snapToGrid w:val="0"/>
                <w:kern w:val="0"/>
                <w:sz w:val="24"/>
              </w:rPr>
            </w:pPr>
            <w:r>
              <w:rPr>
                <w:snapToGrid w:val="0"/>
                <w:kern w:val="0"/>
                <w:sz w:val="24"/>
              </w:rPr>
              <w:t>1</w:t>
            </w:r>
            <w:r>
              <w:rPr>
                <w:rFonts w:hint="eastAsia"/>
                <w:snapToGrid w:val="0"/>
                <w:kern w:val="0"/>
                <w:sz w:val="24"/>
              </w:rPr>
              <w:t>、</w:t>
            </w:r>
            <w:r>
              <w:rPr>
                <w:snapToGrid w:val="0"/>
                <w:kern w:val="0"/>
                <w:sz w:val="24"/>
              </w:rPr>
              <w:t>严格实行</w:t>
            </w:r>
            <w:r>
              <w:rPr>
                <w:rFonts w:ascii="宋体" w:hAnsi="宋体"/>
                <w:snapToGrid w:val="0"/>
                <w:kern w:val="0"/>
                <w:sz w:val="24"/>
              </w:rPr>
              <w:t>“</w:t>
            </w:r>
            <w:r>
              <w:rPr>
                <w:snapToGrid w:val="0"/>
                <w:kern w:val="0"/>
                <w:sz w:val="24"/>
              </w:rPr>
              <w:t>三同时</w:t>
            </w:r>
            <w:r>
              <w:rPr>
                <w:rFonts w:ascii="宋体" w:hAnsi="宋体"/>
                <w:snapToGrid w:val="0"/>
                <w:kern w:val="0"/>
                <w:sz w:val="24"/>
              </w:rPr>
              <w:t>”</w:t>
            </w:r>
            <w:r>
              <w:rPr>
                <w:snapToGrid w:val="0"/>
                <w:kern w:val="0"/>
                <w:sz w:val="24"/>
              </w:rPr>
              <w:t>政策，即污染治理设施要同主项目同时设计、同时建设、同时投产。</w:t>
            </w:r>
          </w:p>
          <w:p>
            <w:pPr>
              <w:spacing w:line="360" w:lineRule="auto"/>
              <w:ind w:firstLine="480" w:firstLineChars="200"/>
              <w:rPr>
                <w:snapToGrid w:val="0"/>
                <w:kern w:val="0"/>
                <w:sz w:val="24"/>
              </w:rPr>
            </w:pPr>
            <w:r>
              <w:rPr>
                <w:snapToGrid w:val="0"/>
                <w:kern w:val="0"/>
                <w:sz w:val="24"/>
              </w:rPr>
              <w:t>2</w:t>
            </w:r>
            <w:r>
              <w:rPr>
                <w:rFonts w:hint="eastAsia"/>
                <w:snapToGrid w:val="0"/>
                <w:kern w:val="0"/>
                <w:sz w:val="24"/>
              </w:rPr>
              <w:t>、</w:t>
            </w:r>
            <w:r>
              <w:rPr>
                <w:snapToGrid w:val="0"/>
                <w:kern w:val="0"/>
                <w:sz w:val="24"/>
              </w:rPr>
              <w:t>搞好厂区绿化，绿化苗木以乔灌木为主，以利于节水，树木的高度应有一定梯度层次，起到减尘、防噪作用。</w:t>
            </w:r>
          </w:p>
          <w:p>
            <w:pPr>
              <w:spacing w:line="360" w:lineRule="auto"/>
              <w:ind w:firstLine="480" w:firstLineChars="200"/>
              <w:rPr>
                <w:snapToGrid w:val="0"/>
                <w:kern w:val="0"/>
                <w:sz w:val="24"/>
                <w:szCs w:val="24"/>
              </w:rPr>
            </w:pPr>
            <w:r>
              <w:rPr>
                <w:rFonts w:hint="eastAsia"/>
                <w:snapToGrid w:val="0"/>
                <w:kern w:val="0"/>
                <w:sz w:val="24"/>
                <w:szCs w:val="24"/>
              </w:rPr>
              <w:t>3</w:t>
            </w:r>
            <w:r>
              <w:rPr>
                <w:snapToGrid w:val="0"/>
                <w:kern w:val="0"/>
                <w:sz w:val="24"/>
                <w:szCs w:val="24"/>
              </w:rPr>
              <w:t>、加强职工的环保教育，提高职工的环保意识。</w:t>
            </w:r>
          </w:p>
        </w:tc>
      </w:tr>
    </w:tbl>
    <w:p>
      <w:pPr>
        <w:spacing w:line="360" w:lineRule="auto"/>
        <w:rPr>
          <w:sz w:val="24"/>
        </w:rPr>
      </w:pPr>
    </w:p>
    <w:tbl>
      <w:tblPr>
        <w:tblStyle w:val="33"/>
        <w:tblW w:w="8356"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4" w:hRule="atLeast"/>
        </w:trPr>
        <w:tc>
          <w:tcPr>
            <w:tcW w:w="8356" w:type="dxa"/>
          </w:tcPr>
          <w:p>
            <w:pPr>
              <w:spacing w:line="360" w:lineRule="auto"/>
              <w:rPr>
                <w:sz w:val="24"/>
              </w:rPr>
            </w:pPr>
            <w:r>
              <w:rPr>
                <w:sz w:val="24"/>
              </w:rPr>
              <w:t>预审意见：</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firstLine="6000" w:firstLineChars="2500"/>
              <w:rPr>
                <w:sz w:val="24"/>
              </w:rPr>
            </w:pPr>
            <w:r>
              <w:rPr>
                <w:sz w:val="24"/>
              </w:rPr>
              <w:t>公章</w:t>
            </w:r>
          </w:p>
          <w:p>
            <w:pPr>
              <w:spacing w:line="360" w:lineRule="auto"/>
              <w:rPr>
                <w:sz w:val="24"/>
              </w:rPr>
            </w:pPr>
            <w:r>
              <w:rPr>
                <w:sz w:val="24"/>
              </w:rPr>
              <w:t>经办：</w:t>
            </w:r>
            <w:r>
              <w:rPr>
                <w:rFonts w:hint="eastAsia"/>
                <w:sz w:val="24"/>
              </w:rPr>
              <w:t xml:space="preserve">                     </w:t>
            </w:r>
            <w:r>
              <w:rPr>
                <w:sz w:val="24"/>
              </w:rPr>
              <w:t>签发：</w:t>
            </w:r>
            <w:r>
              <w:rPr>
                <w:rFonts w:hint="eastAsia"/>
                <w:sz w:val="24"/>
              </w:rPr>
              <w:t xml:space="preserve">               </w:t>
            </w:r>
            <w:r>
              <w:rPr>
                <w:sz w:val="24"/>
              </w:rPr>
              <w:t>年</w:t>
            </w:r>
            <w:r>
              <w:rPr>
                <w:rFonts w:hint="eastAsia"/>
                <w:sz w:val="24"/>
              </w:rPr>
              <w:t xml:space="preserve">  </w:t>
            </w:r>
            <w:r>
              <w:rPr>
                <w:sz w:val="24"/>
              </w:rPr>
              <w:t>月</w:t>
            </w:r>
            <w:r>
              <w:rPr>
                <w:rFonts w:hint="eastAsia"/>
                <w:sz w:val="24"/>
              </w:rPr>
              <w:t xml:space="preserve">  </w:t>
            </w:r>
            <w:r>
              <w:rPr>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7" w:hRule="atLeast"/>
        </w:trPr>
        <w:tc>
          <w:tcPr>
            <w:tcW w:w="8356" w:type="dxa"/>
          </w:tcPr>
          <w:p>
            <w:pPr>
              <w:spacing w:line="360" w:lineRule="auto"/>
              <w:rPr>
                <w:sz w:val="24"/>
              </w:rPr>
            </w:pPr>
            <w:r>
              <w:rPr>
                <w:sz w:val="24"/>
              </w:rPr>
              <w:t>下一级环境保护行政主管部门审查意见：</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firstLine="5880" w:firstLineChars="2450"/>
              <w:rPr>
                <w:sz w:val="24"/>
              </w:rPr>
            </w:pPr>
            <w:r>
              <w:rPr>
                <w:sz w:val="24"/>
              </w:rPr>
              <w:t>公章</w:t>
            </w:r>
          </w:p>
          <w:p>
            <w:pPr>
              <w:spacing w:line="360" w:lineRule="auto"/>
              <w:rPr>
                <w:sz w:val="24"/>
              </w:rPr>
            </w:pPr>
            <w:r>
              <w:rPr>
                <w:sz w:val="24"/>
              </w:rPr>
              <w:t>经办：</w:t>
            </w:r>
            <w:r>
              <w:rPr>
                <w:rFonts w:hint="eastAsia"/>
                <w:sz w:val="24"/>
              </w:rPr>
              <w:t xml:space="preserve">                      </w:t>
            </w:r>
            <w:r>
              <w:rPr>
                <w:sz w:val="24"/>
              </w:rPr>
              <w:t>签发：</w:t>
            </w:r>
            <w:r>
              <w:rPr>
                <w:rFonts w:hint="eastAsia"/>
                <w:sz w:val="24"/>
              </w:rPr>
              <w:t xml:space="preserve">            </w:t>
            </w:r>
            <w:r>
              <w:rPr>
                <w:sz w:val="24"/>
              </w:rPr>
              <w:t>年</w:t>
            </w:r>
            <w:r>
              <w:rPr>
                <w:rFonts w:hint="eastAsia"/>
                <w:sz w:val="24"/>
              </w:rPr>
              <w:t xml:space="preserve">  </w:t>
            </w:r>
            <w:r>
              <w:rPr>
                <w:sz w:val="24"/>
              </w:rPr>
              <w:t>月</w:t>
            </w:r>
            <w:r>
              <w:rPr>
                <w:rFonts w:hint="eastAsia"/>
                <w:sz w:val="24"/>
              </w:rPr>
              <w:t xml:space="preserve">  </w:t>
            </w:r>
            <w:r>
              <w:rPr>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3" w:hRule="atLeast"/>
        </w:trPr>
        <w:tc>
          <w:tcPr>
            <w:tcW w:w="8356" w:type="dxa"/>
          </w:tcPr>
          <w:p>
            <w:pPr>
              <w:spacing w:line="360" w:lineRule="auto"/>
              <w:rPr>
                <w:sz w:val="24"/>
              </w:rPr>
            </w:pPr>
            <w:r>
              <w:rPr>
                <w:sz w:val="24"/>
              </w:rPr>
              <w:t>审批意见：</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firstLine="6120" w:firstLineChars="2550"/>
              <w:rPr>
                <w:sz w:val="24"/>
              </w:rPr>
            </w:pPr>
            <w:r>
              <w:rPr>
                <w:sz w:val="24"/>
              </w:rPr>
              <w:t>公章</w:t>
            </w:r>
          </w:p>
          <w:p>
            <w:pPr>
              <w:spacing w:line="360" w:lineRule="auto"/>
              <w:rPr>
                <w:sz w:val="24"/>
              </w:rPr>
            </w:pPr>
            <w:r>
              <w:rPr>
                <w:sz w:val="24"/>
              </w:rPr>
              <w:t>经办：</w:t>
            </w:r>
            <w:r>
              <w:rPr>
                <w:rFonts w:hint="eastAsia"/>
                <w:sz w:val="24"/>
              </w:rPr>
              <w:t xml:space="preserve">                         </w:t>
            </w:r>
            <w:r>
              <w:rPr>
                <w:sz w:val="24"/>
              </w:rPr>
              <w:t>签发：</w:t>
            </w:r>
            <w:r>
              <w:rPr>
                <w:rFonts w:hint="eastAsia"/>
                <w:sz w:val="24"/>
              </w:rPr>
              <w:t xml:space="preserve">           </w:t>
            </w:r>
            <w:r>
              <w:rPr>
                <w:sz w:val="24"/>
              </w:rPr>
              <w:t>年</w:t>
            </w:r>
            <w:r>
              <w:rPr>
                <w:rFonts w:hint="eastAsia"/>
                <w:sz w:val="24"/>
              </w:rPr>
              <w:t xml:space="preserve">  </w:t>
            </w:r>
            <w:r>
              <w:rPr>
                <w:sz w:val="24"/>
              </w:rPr>
              <w:t>月</w:t>
            </w:r>
            <w:r>
              <w:rPr>
                <w:rFonts w:hint="eastAsia"/>
                <w:sz w:val="24"/>
              </w:rPr>
              <w:t xml:space="preserve">  </w:t>
            </w:r>
            <w:r>
              <w:rPr>
                <w:sz w:val="24"/>
              </w:rPr>
              <w:t>日</w:t>
            </w:r>
          </w:p>
        </w:tc>
      </w:tr>
    </w:tbl>
    <w:p>
      <w:pPr>
        <w:spacing w:line="360" w:lineRule="auto"/>
        <w:rPr>
          <w:sz w:val="36"/>
        </w:rPr>
        <w:sectPr>
          <w:pgSz w:w="11906" w:h="16838"/>
          <w:pgMar w:top="1440" w:right="1800" w:bottom="1440" w:left="1800" w:header="851" w:footer="992" w:gutter="0"/>
          <w:cols w:space="720" w:num="1"/>
          <w:docGrid w:type="linesAndChars" w:linePitch="312" w:charSpace="0"/>
        </w:sectPr>
      </w:pPr>
    </w:p>
    <w:p>
      <w:pPr>
        <w:outlineLvl w:val="0"/>
        <w:rPr>
          <w:sz w:val="15"/>
          <w:szCs w:val="15"/>
        </w:rPr>
      </w:pPr>
    </w:p>
    <w:tbl>
      <w:tblPr>
        <w:tblStyle w:val="33"/>
        <w:tblW w:w="0" w:type="auto"/>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2" w:hRule="atLeast"/>
        </w:trPr>
        <w:tc>
          <w:tcPr>
            <w:tcW w:w="8372" w:type="dxa"/>
          </w:tcPr>
          <w:p>
            <w:pPr>
              <w:jc w:val="center"/>
              <w:rPr>
                <w:b/>
                <w:sz w:val="28"/>
              </w:rPr>
            </w:pPr>
            <w:r>
              <w:rPr>
                <w:b/>
                <w:sz w:val="28"/>
              </w:rPr>
              <w:t>注释</w:t>
            </w:r>
          </w:p>
          <w:p>
            <w:pPr>
              <w:spacing w:line="360" w:lineRule="auto"/>
              <w:ind w:firstLine="480" w:firstLineChars="200"/>
              <w:rPr>
                <w:sz w:val="24"/>
                <w:szCs w:val="24"/>
              </w:rPr>
            </w:pPr>
            <w:r>
              <w:rPr>
                <w:rFonts w:hint="eastAsia"/>
                <w:sz w:val="24"/>
                <w:szCs w:val="24"/>
              </w:rPr>
              <w:t>一、本报告表应附以下附件、附图：</w:t>
            </w:r>
          </w:p>
          <w:p>
            <w:pPr>
              <w:spacing w:line="360" w:lineRule="auto"/>
              <w:ind w:firstLine="480" w:firstLineChars="200"/>
              <w:rPr>
                <w:sz w:val="24"/>
                <w:szCs w:val="24"/>
              </w:rPr>
            </w:pPr>
            <w:r>
              <w:rPr>
                <w:sz w:val="24"/>
                <w:szCs w:val="24"/>
              </w:rPr>
              <w:t>附图1建设项目地理位置图；</w:t>
            </w:r>
          </w:p>
          <w:p>
            <w:pPr>
              <w:spacing w:line="360" w:lineRule="auto"/>
              <w:ind w:firstLine="480" w:firstLineChars="200"/>
              <w:rPr>
                <w:sz w:val="24"/>
                <w:szCs w:val="24"/>
              </w:rPr>
            </w:pPr>
            <w:r>
              <w:rPr>
                <w:sz w:val="24"/>
                <w:szCs w:val="24"/>
              </w:rPr>
              <w:t>附图2 建设项目周边情况示意图；</w:t>
            </w:r>
          </w:p>
          <w:p>
            <w:pPr>
              <w:spacing w:line="360" w:lineRule="auto"/>
              <w:ind w:firstLine="480" w:firstLineChars="200"/>
              <w:rPr>
                <w:sz w:val="24"/>
                <w:szCs w:val="24"/>
              </w:rPr>
            </w:pPr>
            <w:r>
              <w:rPr>
                <w:sz w:val="24"/>
                <w:szCs w:val="24"/>
              </w:rPr>
              <w:t>附图</w:t>
            </w:r>
            <w:r>
              <w:rPr>
                <w:rFonts w:hint="eastAsia"/>
                <w:sz w:val="24"/>
                <w:szCs w:val="24"/>
              </w:rPr>
              <w:t>3</w:t>
            </w:r>
            <w:r>
              <w:rPr>
                <w:sz w:val="24"/>
                <w:szCs w:val="24"/>
              </w:rPr>
              <w:t>建设项目厂区平面概况图</w:t>
            </w:r>
            <w:r>
              <w:rPr>
                <w:rFonts w:hint="eastAsia"/>
                <w:sz w:val="24"/>
                <w:szCs w:val="24"/>
              </w:rPr>
              <w:t>；</w:t>
            </w:r>
          </w:p>
          <w:p>
            <w:pPr>
              <w:spacing w:line="360" w:lineRule="auto"/>
              <w:ind w:firstLine="480" w:firstLineChars="200"/>
              <w:rPr>
                <w:sz w:val="24"/>
                <w:szCs w:val="24"/>
              </w:rPr>
            </w:pPr>
            <w:r>
              <w:rPr>
                <w:rFonts w:hint="eastAsia"/>
                <w:sz w:val="24"/>
                <w:szCs w:val="24"/>
              </w:rPr>
              <w:t>附图4 沭阳县生态红线图。</w:t>
            </w:r>
          </w:p>
          <w:p>
            <w:pPr>
              <w:spacing w:line="360" w:lineRule="auto"/>
              <w:ind w:firstLine="480" w:firstLineChars="200"/>
              <w:rPr>
                <w:sz w:val="24"/>
                <w:szCs w:val="24"/>
              </w:rPr>
            </w:pPr>
            <w:r>
              <w:rPr>
                <w:sz w:val="24"/>
                <w:szCs w:val="24"/>
              </w:rPr>
              <w:t>附件1 项目</w:t>
            </w:r>
            <w:r>
              <w:rPr>
                <w:rFonts w:hint="eastAsia"/>
                <w:sz w:val="24"/>
                <w:szCs w:val="24"/>
              </w:rPr>
              <w:t>备案</w:t>
            </w:r>
            <w:r>
              <w:rPr>
                <w:sz w:val="24"/>
                <w:szCs w:val="24"/>
              </w:rPr>
              <w:t>；</w:t>
            </w:r>
          </w:p>
          <w:p>
            <w:pPr>
              <w:spacing w:line="360" w:lineRule="auto"/>
              <w:ind w:firstLine="480" w:firstLineChars="200"/>
              <w:rPr>
                <w:rFonts w:hint="eastAsia" w:eastAsia="宋体"/>
                <w:sz w:val="24"/>
                <w:szCs w:val="24"/>
                <w:lang w:eastAsia="zh-CN"/>
              </w:rPr>
            </w:pPr>
            <w:r>
              <w:rPr>
                <w:sz w:val="24"/>
                <w:szCs w:val="24"/>
              </w:rPr>
              <w:t>附件2 建设单位营业执照</w:t>
            </w:r>
            <w:r>
              <w:rPr>
                <w:rFonts w:hint="eastAsia"/>
                <w:sz w:val="24"/>
                <w:szCs w:val="24"/>
                <w:lang w:eastAsia="zh-CN"/>
              </w:rPr>
              <w:t>；</w:t>
            </w:r>
          </w:p>
          <w:p>
            <w:pPr>
              <w:spacing w:line="360" w:lineRule="auto"/>
              <w:ind w:firstLine="480" w:firstLineChars="200"/>
              <w:rPr>
                <w:sz w:val="24"/>
                <w:szCs w:val="24"/>
              </w:rPr>
            </w:pPr>
            <w:r>
              <w:rPr>
                <w:rFonts w:hint="eastAsia"/>
                <w:sz w:val="24"/>
                <w:szCs w:val="24"/>
                <w:lang w:eastAsia="zh-CN"/>
              </w:rPr>
              <w:t>附件</w:t>
            </w:r>
            <w:r>
              <w:rPr>
                <w:rFonts w:hint="eastAsia"/>
                <w:sz w:val="24"/>
                <w:szCs w:val="24"/>
                <w:lang w:val="en-US" w:eastAsia="zh-CN"/>
              </w:rPr>
              <w:t>3 建设单位法人身份证</w:t>
            </w:r>
            <w:r>
              <w:rPr>
                <w:sz w:val="24"/>
                <w:szCs w:val="24"/>
              </w:rPr>
              <w:t>；</w:t>
            </w:r>
          </w:p>
          <w:p>
            <w:pPr>
              <w:spacing w:line="360" w:lineRule="auto"/>
              <w:ind w:firstLine="480" w:firstLineChars="200"/>
              <w:rPr>
                <w:sz w:val="24"/>
                <w:szCs w:val="24"/>
              </w:rPr>
            </w:pPr>
            <w:r>
              <w:rPr>
                <w:sz w:val="24"/>
                <w:szCs w:val="24"/>
              </w:rPr>
              <w:t>附件</w:t>
            </w:r>
            <w:r>
              <w:rPr>
                <w:rFonts w:hint="eastAsia"/>
                <w:sz w:val="24"/>
                <w:szCs w:val="24"/>
                <w:lang w:val="en-US" w:eastAsia="zh-CN"/>
              </w:rPr>
              <w:t xml:space="preserve">4 </w:t>
            </w:r>
            <w:r>
              <w:rPr>
                <w:sz w:val="24"/>
                <w:szCs w:val="24"/>
              </w:rPr>
              <w:t>用地红线图；</w:t>
            </w:r>
          </w:p>
          <w:p>
            <w:pPr>
              <w:spacing w:line="360" w:lineRule="auto"/>
              <w:ind w:firstLine="480" w:firstLineChars="200"/>
              <w:rPr>
                <w:sz w:val="24"/>
                <w:szCs w:val="24"/>
              </w:rPr>
            </w:pPr>
            <w:r>
              <w:rPr>
                <w:rFonts w:hint="eastAsia"/>
                <w:sz w:val="24"/>
                <w:szCs w:val="24"/>
              </w:rPr>
              <w:t>附件</w:t>
            </w:r>
            <w:r>
              <w:rPr>
                <w:rFonts w:hint="eastAsia"/>
                <w:sz w:val="24"/>
                <w:szCs w:val="24"/>
                <w:lang w:val="en-US" w:eastAsia="zh-CN"/>
              </w:rPr>
              <w:t xml:space="preserve">5 </w:t>
            </w:r>
            <w:r>
              <w:rPr>
                <w:rFonts w:hint="eastAsia"/>
                <w:sz w:val="24"/>
                <w:szCs w:val="24"/>
              </w:rPr>
              <w:t>委托书；</w:t>
            </w:r>
          </w:p>
          <w:p>
            <w:pPr>
              <w:spacing w:line="360" w:lineRule="auto"/>
              <w:ind w:firstLine="480" w:firstLineChars="200"/>
              <w:rPr>
                <w:sz w:val="24"/>
                <w:szCs w:val="24"/>
              </w:rPr>
            </w:pPr>
            <w:r>
              <w:rPr>
                <w:rFonts w:hint="eastAsia"/>
                <w:sz w:val="24"/>
                <w:szCs w:val="24"/>
              </w:rPr>
              <w:t>附件</w:t>
            </w:r>
            <w:r>
              <w:rPr>
                <w:rFonts w:hint="eastAsia"/>
                <w:sz w:val="24"/>
                <w:szCs w:val="24"/>
                <w:lang w:val="en-US" w:eastAsia="zh-CN"/>
              </w:rPr>
              <w:t xml:space="preserve">6 </w:t>
            </w:r>
            <w:r>
              <w:rPr>
                <w:rFonts w:hint="eastAsia"/>
                <w:sz w:val="24"/>
                <w:szCs w:val="24"/>
              </w:rPr>
              <w:t>承诺书；</w:t>
            </w:r>
          </w:p>
          <w:p>
            <w:pPr>
              <w:spacing w:line="360" w:lineRule="auto"/>
              <w:ind w:firstLine="480" w:firstLineChars="200"/>
              <w:rPr>
                <w:sz w:val="24"/>
                <w:szCs w:val="24"/>
              </w:rPr>
            </w:pPr>
            <w:r>
              <w:rPr>
                <w:rFonts w:hint="eastAsia"/>
                <w:sz w:val="24"/>
                <w:szCs w:val="24"/>
                <w:lang w:val="en-US" w:eastAsia="zh-CN"/>
              </w:rPr>
              <w:t xml:space="preserve">附件7 </w:t>
            </w:r>
            <w:r>
              <w:rPr>
                <w:rFonts w:hint="eastAsia"/>
                <w:sz w:val="24"/>
                <w:szCs w:val="24"/>
              </w:rPr>
              <w:t>引用说明；</w:t>
            </w:r>
          </w:p>
          <w:p>
            <w:pPr>
              <w:spacing w:line="360" w:lineRule="auto"/>
              <w:ind w:firstLine="480" w:firstLineChars="200"/>
              <w:rPr>
                <w:rFonts w:hint="eastAsia" w:eastAsia="宋体"/>
                <w:sz w:val="24"/>
                <w:szCs w:val="24"/>
                <w:lang w:eastAsia="zh-CN"/>
              </w:rPr>
            </w:pPr>
            <w:r>
              <w:rPr>
                <w:rFonts w:hint="eastAsia"/>
                <w:sz w:val="24"/>
                <w:szCs w:val="24"/>
              </w:rPr>
              <w:t>附件</w:t>
            </w:r>
            <w:r>
              <w:rPr>
                <w:rFonts w:hint="eastAsia"/>
                <w:sz w:val="24"/>
                <w:szCs w:val="24"/>
                <w:lang w:val="en-US" w:eastAsia="zh-CN"/>
              </w:rPr>
              <w:t xml:space="preserve">8 </w:t>
            </w:r>
            <w:r>
              <w:rPr>
                <w:rFonts w:hint="eastAsia"/>
                <w:sz w:val="24"/>
                <w:szCs w:val="24"/>
              </w:rPr>
              <w:t>处罚意见</w:t>
            </w:r>
            <w:r>
              <w:rPr>
                <w:rFonts w:hint="eastAsia"/>
                <w:sz w:val="24"/>
                <w:szCs w:val="24"/>
                <w:lang w:eastAsia="zh-CN"/>
              </w:rPr>
              <w:t>；</w:t>
            </w:r>
          </w:p>
          <w:p>
            <w:pPr>
              <w:spacing w:line="360" w:lineRule="auto"/>
              <w:ind w:firstLine="480" w:firstLineChars="200"/>
              <w:rPr>
                <w:rFonts w:hint="eastAsia"/>
                <w:sz w:val="24"/>
                <w:szCs w:val="24"/>
                <w:lang w:val="en-US" w:eastAsia="zh-CN"/>
              </w:rPr>
            </w:pPr>
            <w:r>
              <w:rPr>
                <w:rFonts w:hint="eastAsia"/>
                <w:sz w:val="24"/>
                <w:szCs w:val="24"/>
                <w:lang w:eastAsia="zh-CN"/>
              </w:rPr>
              <w:t>附件</w:t>
            </w:r>
            <w:r>
              <w:rPr>
                <w:rFonts w:hint="eastAsia"/>
                <w:sz w:val="24"/>
                <w:szCs w:val="24"/>
                <w:lang w:val="en-US" w:eastAsia="zh-CN"/>
              </w:rPr>
              <w:t>9 拆迁说明；</w:t>
            </w:r>
          </w:p>
          <w:p>
            <w:pPr>
              <w:spacing w:line="360" w:lineRule="auto"/>
              <w:ind w:firstLine="480" w:firstLineChars="200"/>
            </w:pPr>
            <w:r>
              <w:rPr>
                <w:rFonts w:hint="eastAsia"/>
                <w:sz w:val="24"/>
                <w:szCs w:val="24"/>
                <w:lang w:eastAsia="zh-CN"/>
              </w:rPr>
              <w:t>附件</w:t>
            </w:r>
            <w:r>
              <w:rPr>
                <w:rFonts w:hint="eastAsia"/>
                <w:sz w:val="24"/>
                <w:szCs w:val="24"/>
                <w:lang w:val="en-US" w:eastAsia="zh-CN"/>
              </w:rPr>
              <w:t>10 项目公示</w:t>
            </w:r>
            <w:r>
              <w:rPr>
                <w:rFonts w:hint="eastAsia"/>
                <w:sz w:val="24"/>
                <w:szCs w:val="24"/>
              </w:rPr>
              <w:t>；</w:t>
            </w:r>
          </w:p>
          <w:p>
            <w:pPr>
              <w:spacing w:line="360" w:lineRule="auto"/>
              <w:ind w:firstLine="480" w:firstLineChars="200"/>
              <w:rPr>
                <w:sz w:val="24"/>
                <w:szCs w:val="24"/>
              </w:rPr>
            </w:pPr>
            <w:r>
              <w:rPr>
                <w:rFonts w:hint="eastAsia"/>
                <w:sz w:val="24"/>
                <w:szCs w:val="24"/>
              </w:rPr>
              <w:t>附件</w:t>
            </w:r>
            <w:r>
              <w:rPr>
                <w:rFonts w:hint="eastAsia"/>
                <w:sz w:val="24"/>
                <w:szCs w:val="24"/>
                <w:lang w:val="en-US" w:eastAsia="zh-CN"/>
              </w:rPr>
              <w:t>11</w:t>
            </w:r>
            <w:r>
              <w:rPr>
                <w:rFonts w:hint="eastAsia"/>
                <w:sz w:val="24"/>
                <w:szCs w:val="24"/>
              </w:rPr>
              <w:t>审批基础信息表。</w:t>
            </w:r>
          </w:p>
          <w:p>
            <w:pPr>
              <w:spacing w:line="360" w:lineRule="auto"/>
              <w:ind w:firstLine="480" w:firstLineChars="200"/>
              <w:rPr>
                <w:sz w:val="24"/>
                <w:szCs w:val="24"/>
              </w:rPr>
            </w:pPr>
            <w:r>
              <w:rPr>
                <w:rFonts w:hint="eastAsia"/>
                <w:sz w:val="24"/>
                <w:szCs w:val="24"/>
              </w:rPr>
              <w:t>二、</w:t>
            </w:r>
            <w:r>
              <w:rPr>
                <w:sz w:val="24"/>
                <w:szCs w:val="24"/>
              </w:rPr>
              <w:t>如果本报告表不能说明项目产生的污染及对环境造成的影响，应进行专项评价。根据建设项目的特点和当地环境特征，应选下列</w:t>
            </w:r>
            <w:r>
              <w:rPr>
                <w:rFonts w:hint="eastAsia"/>
                <w:sz w:val="24"/>
                <w:szCs w:val="24"/>
              </w:rPr>
              <w:t>1-</w:t>
            </w:r>
            <w:r>
              <w:rPr>
                <w:sz w:val="24"/>
                <w:szCs w:val="24"/>
              </w:rPr>
              <w:t>2项进行专项评价。</w:t>
            </w:r>
          </w:p>
          <w:p>
            <w:pPr>
              <w:numPr>
                <w:ilvl w:val="0"/>
                <w:numId w:val="8"/>
              </w:numPr>
              <w:spacing w:line="360" w:lineRule="auto"/>
              <w:ind w:left="0" w:firstLine="480" w:firstLineChars="200"/>
              <w:rPr>
                <w:sz w:val="24"/>
                <w:szCs w:val="24"/>
              </w:rPr>
            </w:pPr>
            <w:r>
              <w:rPr>
                <w:sz w:val="24"/>
                <w:szCs w:val="24"/>
              </w:rPr>
              <w:t>大气环境影响专项评价</w:t>
            </w:r>
          </w:p>
          <w:p>
            <w:pPr>
              <w:numPr>
                <w:ilvl w:val="0"/>
                <w:numId w:val="8"/>
              </w:numPr>
              <w:spacing w:line="360" w:lineRule="auto"/>
              <w:ind w:left="0" w:firstLine="480" w:firstLineChars="200"/>
              <w:rPr>
                <w:sz w:val="24"/>
                <w:szCs w:val="24"/>
              </w:rPr>
            </w:pPr>
            <w:r>
              <w:rPr>
                <w:sz w:val="24"/>
                <w:szCs w:val="24"/>
              </w:rPr>
              <w:t>水环境影响专项评价（包括地表水和地下水）</w:t>
            </w:r>
          </w:p>
          <w:p>
            <w:pPr>
              <w:spacing w:line="360" w:lineRule="auto"/>
              <w:ind w:firstLine="480" w:firstLineChars="200"/>
              <w:rPr>
                <w:sz w:val="24"/>
                <w:szCs w:val="24"/>
              </w:rPr>
            </w:pPr>
            <w:r>
              <w:rPr>
                <w:rFonts w:hint="eastAsia"/>
                <w:sz w:val="24"/>
                <w:szCs w:val="24"/>
              </w:rPr>
              <w:t>3、</w:t>
            </w:r>
            <w:r>
              <w:rPr>
                <w:sz w:val="24"/>
                <w:szCs w:val="24"/>
              </w:rPr>
              <w:t>生态环境影响专项评价</w:t>
            </w:r>
          </w:p>
          <w:p>
            <w:pPr>
              <w:numPr>
                <w:ilvl w:val="0"/>
                <w:numId w:val="9"/>
              </w:numPr>
              <w:spacing w:line="360" w:lineRule="auto"/>
              <w:ind w:left="0" w:firstLine="480" w:firstLineChars="200"/>
              <w:rPr>
                <w:sz w:val="24"/>
                <w:szCs w:val="24"/>
              </w:rPr>
            </w:pPr>
            <w:r>
              <w:rPr>
                <w:sz w:val="24"/>
                <w:szCs w:val="24"/>
              </w:rPr>
              <w:t>声影响专项评价</w:t>
            </w:r>
          </w:p>
          <w:p>
            <w:pPr>
              <w:numPr>
                <w:ilvl w:val="0"/>
                <w:numId w:val="9"/>
              </w:numPr>
              <w:spacing w:line="360" w:lineRule="auto"/>
              <w:ind w:left="0" w:firstLine="480" w:firstLineChars="200"/>
              <w:rPr>
                <w:sz w:val="24"/>
                <w:szCs w:val="24"/>
              </w:rPr>
            </w:pPr>
            <w:r>
              <w:rPr>
                <w:sz w:val="24"/>
                <w:szCs w:val="24"/>
              </w:rPr>
              <w:t>土壤影响专项评价</w:t>
            </w:r>
          </w:p>
          <w:p>
            <w:pPr>
              <w:spacing w:line="360" w:lineRule="auto"/>
              <w:ind w:firstLine="480" w:firstLineChars="200"/>
              <w:rPr>
                <w:sz w:val="24"/>
                <w:szCs w:val="24"/>
              </w:rPr>
            </w:pPr>
            <w:r>
              <w:rPr>
                <w:rFonts w:hint="eastAsia"/>
                <w:sz w:val="24"/>
                <w:szCs w:val="24"/>
              </w:rPr>
              <w:t>6、</w:t>
            </w:r>
            <w:r>
              <w:rPr>
                <w:sz w:val="24"/>
                <w:szCs w:val="24"/>
              </w:rPr>
              <w:t>固体废弃物影响专项评价</w:t>
            </w:r>
          </w:p>
          <w:p>
            <w:pPr>
              <w:spacing w:line="360" w:lineRule="auto"/>
              <w:ind w:firstLine="480" w:firstLineChars="200"/>
              <w:rPr>
                <w:sz w:val="24"/>
                <w:szCs w:val="24"/>
              </w:rPr>
            </w:pPr>
            <w:r>
              <w:rPr>
                <w:rFonts w:hint="eastAsia"/>
                <w:sz w:val="24"/>
                <w:szCs w:val="24"/>
              </w:rPr>
              <w:t>7、</w:t>
            </w:r>
            <w:r>
              <w:rPr>
                <w:sz w:val="24"/>
                <w:szCs w:val="24"/>
              </w:rPr>
              <w:t>辐射环境影响专项评价（包括电离辐射和电磁辐射）</w:t>
            </w:r>
          </w:p>
          <w:p>
            <w:pPr>
              <w:spacing w:line="360" w:lineRule="auto"/>
              <w:ind w:firstLine="480" w:firstLineChars="200"/>
            </w:pPr>
            <w:r>
              <w:rPr>
                <w:sz w:val="24"/>
                <w:szCs w:val="24"/>
              </w:rPr>
              <w:t>以上专项评价未包括的可另列专项，专项评价按照《环境影响评价技术导则》中的要求进行。</w:t>
            </w:r>
          </w:p>
        </w:tc>
      </w:tr>
    </w:tbl>
    <w:p>
      <w:pPr>
        <w:rPr>
          <w:sz w:val="15"/>
          <w:szCs w:val="15"/>
        </w:rPr>
      </w:pPr>
    </w:p>
    <w:sectPr>
      <w:pgSz w:w="11906" w:h="16838"/>
      <w:pgMar w:top="1440" w:right="1800" w:bottom="1440" w:left="1800"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ISOCTEUR">
    <w:panose1 w:val="020B0609020202020204"/>
    <w:charset w:val="00"/>
    <w:family w:val="modern"/>
    <w:pitch w:val="default"/>
    <w:sig w:usb0="00000287" w:usb1="00000000" w:usb2="00000000" w:usb3="00000000" w:csb0="4000009F" w:csb1="DFD70000"/>
  </w:font>
  <w:font w:name="Arial Black">
    <w:panose1 w:val="020B0A04020102020204"/>
    <w:charset w:val="00"/>
    <w:family w:val="swiss"/>
    <w:pitch w:val="default"/>
    <w:sig w:usb0="00000287" w:usb1="000000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TimesNewRomanPSMT">
    <w:altName w:val="微软雅黑"/>
    <w:panose1 w:val="00000000000000000000"/>
    <w:charset w:val="86"/>
    <w:family w:val="auto"/>
    <w:pitch w:val="default"/>
    <w:sig w:usb0="00000000" w:usb1="00000000" w:usb2="00000010" w:usb3="00000000" w:csb0="00040001" w:csb1="00000000"/>
  </w:font>
  <w:font w:name="Cambria Math">
    <w:panose1 w:val="02040503050406030204"/>
    <w:charset w:val="00"/>
    <w:family w:val="roman"/>
    <w:pitch w:val="default"/>
    <w:sig w:usb0="E00002FF" w:usb1="420024FF" w:usb2="00000000" w:usb3="00000000" w:csb0="2000019F" w:csb1="00000000"/>
  </w:font>
  <w:font w:name="宋体,Bold">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8"/>
      </w:rPr>
    </w:pPr>
    <w:r>
      <w:fldChar w:fldCharType="begin"/>
    </w:r>
    <w:r>
      <w:rPr>
        <w:rStyle w:val="38"/>
      </w:rPr>
      <w:instrText xml:space="preserve">PAGE  </w:instrText>
    </w:r>
    <w:r>
      <w:fldChar w:fldCharType="separate"/>
    </w:r>
    <w:r>
      <w:rPr>
        <w:rStyle w:val="38"/>
      </w:rPr>
      <w:t>1</w:t>
    </w:r>
    <w:r>
      <w:fldChar w:fldCharType="end"/>
    </w:r>
  </w:p>
  <w:p>
    <w:pPr>
      <w:pStyle w:val="2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ADC766"/>
    <w:multiLevelType w:val="singleLevel"/>
    <w:tmpl w:val="9CADC766"/>
    <w:lvl w:ilvl="0" w:tentative="0">
      <w:start w:val="2"/>
      <w:numFmt w:val="decimal"/>
      <w:suff w:val="nothing"/>
      <w:lvlText w:val="（%1）"/>
      <w:lvlJc w:val="left"/>
      <w:pPr>
        <w:ind w:left="0" w:firstLine="0"/>
      </w:pPr>
    </w:lvl>
  </w:abstractNum>
  <w:abstractNum w:abstractNumId="1">
    <w:nsid w:val="0AF62D20"/>
    <w:multiLevelType w:val="multilevel"/>
    <w:tmpl w:val="0AF62D20"/>
    <w:lvl w:ilvl="0" w:tentative="0">
      <w:start w:val="1"/>
      <w:numFmt w:val="decimal"/>
      <w:lvlText w:val="%1、"/>
      <w:lvlJc w:val="left"/>
      <w:pPr>
        <w:tabs>
          <w:tab w:val="left" w:pos="791"/>
        </w:tabs>
        <w:ind w:left="791" w:hanging="360"/>
      </w:pPr>
      <w:rPr>
        <w:rFonts w:hint="default" w:hAnsi="Times New Roman"/>
      </w:rPr>
    </w:lvl>
    <w:lvl w:ilvl="1" w:tentative="0">
      <w:start w:val="1"/>
      <w:numFmt w:val="lowerLetter"/>
      <w:lvlText w:val="%2)"/>
      <w:lvlJc w:val="left"/>
      <w:pPr>
        <w:tabs>
          <w:tab w:val="left" w:pos="1271"/>
        </w:tabs>
        <w:ind w:left="1271" w:hanging="420"/>
      </w:pPr>
    </w:lvl>
    <w:lvl w:ilvl="2" w:tentative="0">
      <w:start w:val="1"/>
      <w:numFmt w:val="lowerRoman"/>
      <w:lvlText w:val="%3."/>
      <w:lvlJc w:val="right"/>
      <w:pPr>
        <w:tabs>
          <w:tab w:val="left" w:pos="1691"/>
        </w:tabs>
        <w:ind w:left="1691" w:hanging="420"/>
      </w:pPr>
    </w:lvl>
    <w:lvl w:ilvl="3" w:tentative="0">
      <w:start w:val="1"/>
      <w:numFmt w:val="decimal"/>
      <w:lvlText w:val="%4."/>
      <w:lvlJc w:val="left"/>
      <w:pPr>
        <w:tabs>
          <w:tab w:val="left" w:pos="2111"/>
        </w:tabs>
        <w:ind w:left="2111" w:hanging="420"/>
      </w:pPr>
    </w:lvl>
    <w:lvl w:ilvl="4" w:tentative="0">
      <w:start w:val="1"/>
      <w:numFmt w:val="lowerLetter"/>
      <w:lvlText w:val="%5)"/>
      <w:lvlJc w:val="left"/>
      <w:pPr>
        <w:tabs>
          <w:tab w:val="left" w:pos="2531"/>
        </w:tabs>
        <w:ind w:left="2531" w:hanging="420"/>
      </w:pPr>
    </w:lvl>
    <w:lvl w:ilvl="5" w:tentative="0">
      <w:start w:val="1"/>
      <w:numFmt w:val="lowerRoman"/>
      <w:lvlText w:val="%6."/>
      <w:lvlJc w:val="right"/>
      <w:pPr>
        <w:tabs>
          <w:tab w:val="left" w:pos="2951"/>
        </w:tabs>
        <w:ind w:left="2951" w:hanging="420"/>
      </w:pPr>
    </w:lvl>
    <w:lvl w:ilvl="6" w:tentative="0">
      <w:start w:val="1"/>
      <w:numFmt w:val="decimal"/>
      <w:lvlText w:val="%7."/>
      <w:lvlJc w:val="left"/>
      <w:pPr>
        <w:tabs>
          <w:tab w:val="left" w:pos="3371"/>
        </w:tabs>
        <w:ind w:left="3371" w:hanging="420"/>
      </w:pPr>
    </w:lvl>
    <w:lvl w:ilvl="7" w:tentative="0">
      <w:start w:val="1"/>
      <w:numFmt w:val="lowerLetter"/>
      <w:lvlText w:val="%8)"/>
      <w:lvlJc w:val="left"/>
      <w:pPr>
        <w:tabs>
          <w:tab w:val="left" w:pos="3791"/>
        </w:tabs>
        <w:ind w:left="3791" w:hanging="420"/>
      </w:pPr>
    </w:lvl>
    <w:lvl w:ilvl="8" w:tentative="0">
      <w:start w:val="1"/>
      <w:numFmt w:val="lowerRoman"/>
      <w:lvlText w:val="%9."/>
      <w:lvlJc w:val="right"/>
      <w:pPr>
        <w:tabs>
          <w:tab w:val="left" w:pos="4211"/>
        </w:tabs>
        <w:ind w:left="4211" w:hanging="420"/>
      </w:pPr>
    </w:lvl>
  </w:abstractNum>
  <w:abstractNum w:abstractNumId="2">
    <w:nsid w:val="3CAA7AE0"/>
    <w:multiLevelType w:val="multilevel"/>
    <w:tmpl w:val="3CAA7AE0"/>
    <w:lvl w:ilvl="0" w:tentative="0">
      <w:start w:val="1"/>
      <w:numFmt w:val="decimalEnclosedCircle"/>
      <w:lvlText w:val="%1"/>
      <w:lvlJc w:val="left"/>
      <w:pPr>
        <w:ind w:left="840" w:hanging="360"/>
      </w:pPr>
      <w:rPr>
        <w:rFonts w:hint="default" w:ascii="宋体" w:hAnsi="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507025ED"/>
    <w:multiLevelType w:val="multilevel"/>
    <w:tmpl w:val="507025E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7A60591"/>
    <w:multiLevelType w:val="singleLevel"/>
    <w:tmpl w:val="57A60591"/>
    <w:lvl w:ilvl="0" w:tentative="0">
      <w:start w:val="1"/>
      <w:numFmt w:val="decimal"/>
      <w:suff w:val="nothing"/>
      <w:lvlText w:val="（%1）"/>
      <w:lvlJc w:val="left"/>
    </w:lvl>
  </w:abstractNum>
  <w:abstractNum w:abstractNumId="5">
    <w:nsid w:val="60B84ECB"/>
    <w:multiLevelType w:val="singleLevel"/>
    <w:tmpl w:val="60B84ECB"/>
    <w:lvl w:ilvl="0" w:tentative="0">
      <w:start w:val="1"/>
      <w:numFmt w:val="decimal"/>
      <w:suff w:val="nothing"/>
      <w:lvlText w:val="（%1）"/>
      <w:lvlJc w:val="left"/>
      <w:pPr>
        <w:ind w:left="0" w:firstLine="0"/>
      </w:pPr>
    </w:lvl>
  </w:abstractNum>
  <w:abstractNum w:abstractNumId="6">
    <w:nsid w:val="63E5102B"/>
    <w:multiLevelType w:val="multilevel"/>
    <w:tmpl w:val="63E5102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771340D"/>
    <w:multiLevelType w:val="multilevel"/>
    <w:tmpl w:val="6771340D"/>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2963822"/>
    <w:multiLevelType w:val="multilevel"/>
    <w:tmpl w:val="72963822"/>
    <w:lvl w:ilvl="0" w:tentative="0">
      <w:start w:val="1"/>
      <w:numFmt w:val="decimalEnclosedCircle"/>
      <w:lvlText w:val="%1"/>
      <w:lvlJc w:val="left"/>
      <w:pPr>
        <w:ind w:left="840" w:hanging="360"/>
      </w:pPr>
      <w:rPr>
        <w:rFonts w:hint="default" w:ascii="宋体" w:hAnsi="宋体" w:cs="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1"/>
  </w:num>
  <w:num w:numId="3">
    <w:abstractNumId w:val="2"/>
  </w:num>
  <w:num w:numId="4">
    <w:abstractNumId w:val="5"/>
    <w:lvlOverride w:ilvl="0">
      <w:startOverride w:val="1"/>
    </w:lvlOverride>
  </w:num>
  <w:num w:numId="5">
    <w:abstractNumId w:val="0"/>
    <w:lvlOverride w:ilvl="0">
      <w:startOverride w:val="2"/>
    </w:lvlOverride>
  </w:num>
  <w:num w:numId="6">
    <w:abstractNumId w:val="8"/>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5"/>
  <w:drawingGridHorizontalSpacing w:val="105"/>
  <w:drawingGridVerticalSpacing w:val="156"/>
  <w:displayHorizontalDrawingGridEvery w:val="2"/>
  <w:displayVerticalDrawingGridEvery w:val="2"/>
  <w:doNotShadeFormData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172A27"/>
    <w:rsid w:val="00001D44"/>
    <w:rsid w:val="00002132"/>
    <w:rsid w:val="00003195"/>
    <w:rsid w:val="0000386F"/>
    <w:rsid w:val="00003F9C"/>
    <w:rsid w:val="000045CA"/>
    <w:rsid w:val="00004DE8"/>
    <w:rsid w:val="00004F47"/>
    <w:rsid w:val="000052D0"/>
    <w:rsid w:val="00005591"/>
    <w:rsid w:val="0000689B"/>
    <w:rsid w:val="000071B8"/>
    <w:rsid w:val="0001135E"/>
    <w:rsid w:val="00011A92"/>
    <w:rsid w:val="00011BD2"/>
    <w:rsid w:val="00011E50"/>
    <w:rsid w:val="00012093"/>
    <w:rsid w:val="000120B5"/>
    <w:rsid w:val="00012B84"/>
    <w:rsid w:val="00013BF1"/>
    <w:rsid w:val="00014138"/>
    <w:rsid w:val="00016719"/>
    <w:rsid w:val="000175A5"/>
    <w:rsid w:val="000175FF"/>
    <w:rsid w:val="00017F45"/>
    <w:rsid w:val="00020674"/>
    <w:rsid w:val="0002131F"/>
    <w:rsid w:val="00021391"/>
    <w:rsid w:val="0002140A"/>
    <w:rsid w:val="00022446"/>
    <w:rsid w:val="00022AD9"/>
    <w:rsid w:val="00022B5B"/>
    <w:rsid w:val="00024C7A"/>
    <w:rsid w:val="000253A0"/>
    <w:rsid w:val="00025712"/>
    <w:rsid w:val="00025930"/>
    <w:rsid w:val="00026095"/>
    <w:rsid w:val="00026FC4"/>
    <w:rsid w:val="000306C6"/>
    <w:rsid w:val="000323F2"/>
    <w:rsid w:val="000329E5"/>
    <w:rsid w:val="0003309C"/>
    <w:rsid w:val="000332CD"/>
    <w:rsid w:val="00033748"/>
    <w:rsid w:val="00034D93"/>
    <w:rsid w:val="00035F99"/>
    <w:rsid w:val="0003623A"/>
    <w:rsid w:val="000375D9"/>
    <w:rsid w:val="00037AC8"/>
    <w:rsid w:val="000403BB"/>
    <w:rsid w:val="00040F63"/>
    <w:rsid w:val="0004189B"/>
    <w:rsid w:val="00043158"/>
    <w:rsid w:val="00043459"/>
    <w:rsid w:val="00044980"/>
    <w:rsid w:val="00045506"/>
    <w:rsid w:val="00045604"/>
    <w:rsid w:val="00045CA7"/>
    <w:rsid w:val="00045FC1"/>
    <w:rsid w:val="0004600E"/>
    <w:rsid w:val="000462CB"/>
    <w:rsid w:val="000463E5"/>
    <w:rsid w:val="0004669D"/>
    <w:rsid w:val="00046F04"/>
    <w:rsid w:val="000474C1"/>
    <w:rsid w:val="0004785A"/>
    <w:rsid w:val="00050A6D"/>
    <w:rsid w:val="00050C4A"/>
    <w:rsid w:val="00050C95"/>
    <w:rsid w:val="00050E0E"/>
    <w:rsid w:val="00051AF8"/>
    <w:rsid w:val="00051F18"/>
    <w:rsid w:val="00052A1F"/>
    <w:rsid w:val="00052B7A"/>
    <w:rsid w:val="00053E26"/>
    <w:rsid w:val="0005402E"/>
    <w:rsid w:val="0005638C"/>
    <w:rsid w:val="00056D19"/>
    <w:rsid w:val="000572C3"/>
    <w:rsid w:val="000573FE"/>
    <w:rsid w:val="0005792F"/>
    <w:rsid w:val="00057AA0"/>
    <w:rsid w:val="00060A76"/>
    <w:rsid w:val="0006127A"/>
    <w:rsid w:val="00062357"/>
    <w:rsid w:val="0006250F"/>
    <w:rsid w:val="000627CF"/>
    <w:rsid w:val="00062D29"/>
    <w:rsid w:val="00063364"/>
    <w:rsid w:val="00063D3A"/>
    <w:rsid w:val="00063DFC"/>
    <w:rsid w:val="00064503"/>
    <w:rsid w:val="000645C8"/>
    <w:rsid w:val="000646CD"/>
    <w:rsid w:val="00064C70"/>
    <w:rsid w:val="000656FA"/>
    <w:rsid w:val="0006624D"/>
    <w:rsid w:val="00066684"/>
    <w:rsid w:val="00066F4E"/>
    <w:rsid w:val="000675E5"/>
    <w:rsid w:val="00067655"/>
    <w:rsid w:val="00070E08"/>
    <w:rsid w:val="0007296F"/>
    <w:rsid w:val="00072FCF"/>
    <w:rsid w:val="00074413"/>
    <w:rsid w:val="00074436"/>
    <w:rsid w:val="0007552B"/>
    <w:rsid w:val="00075AFD"/>
    <w:rsid w:val="000762CA"/>
    <w:rsid w:val="00076864"/>
    <w:rsid w:val="00076DF5"/>
    <w:rsid w:val="00077CFB"/>
    <w:rsid w:val="00080077"/>
    <w:rsid w:val="00081664"/>
    <w:rsid w:val="00082520"/>
    <w:rsid w:val="00082FCD"/>
    <w:rsid w:val="0008311E"/>
    <w:rsid w:val="000836BA"/>
    <w:rsid w:val="00083C52"/>
    <w:rsid w:val="000845EE"/>
    <w:rsid w:val="000846CA"/>
    <w:rsid w:val="00084DDD"/>
    <w:rsid w:val="00085B33"/>
    <w:rsid w:val="000861F9"/>
    <w:rsid w:val="00086477"/>
    <w:rsid w:val="0008782C"/>
    <w:rsid w:val="00087C9D"/>
    <w:rsid w:val="000900B2"/>
    <w:rsid w:val="000906B1"/>
    <w:rsid w:val="00090AB0"/>
    <w:rsid w:val="0009248D"/>
    <w:rsid w:val="00093194"/>
    <w:rsid w:val="0009351F"/>
    <w:rsid w:val="000936B7"/>
    <w:rsid w:val="00093F00"/>
    <w:rsid w:val="00094498"/>
    <w:rsid w:val="000945D2"/>
    <w:rsid w:val="00094907"/>
    <w:rsid w:val="00095291"/>
    <w:rsid w:val="0009570C"/>
    <w:rsid w:val="00096571"/>
    <w:rsid w:val="00096743"/>
    <w:rsid w:val="00096BE2"/>
    <w:rsid w:val="000972E5"/>
    <w:rsid w:val="00097703"/>
    <w:rsid w:val="000A0311"/>
    <w:rsid w:val="000A1B63"/>
    <w:rsid w:val="000A1FE6"/>
    <w:rsid w:val="000A265F"/>
    <w:rsid w:val="000A2AF8"/>
    <w:rsid w:val="000A3459"/>
    <w:rsid w:val="000A362C"/>
    <w:rsid w:val="000A3E9D"/>
    <w:rsid w:val="000A45D0"/>
    <w:rsid w:val="000A4834"/>
    <w:rsid w:val="000A55F2"/>
    <w:rsid w:val="000A5829"/>
    <w:rsid w:val="000A6D3B"/>
    <w:rsid w:val="000A7D1A"/>
    <w:rsid w:val="000B0B51"/>
    <w:rsid w:val="000B0CB2"/>
    <w:rsid w:val="000B1064"/>
    <w:rsid w:val="000B1451"/>
    <w:rsid w:val="000B20BB"/>
    <w:rsid w:val="000B2BD9"/>
    <w:rsid w:val="000B339F"/>
    <w:rsid w:val="000B447B"/>
    <w:rsid w:val="000B46A3"/>
    <w:rsid w:val="000B4754"/>
    <w:rsid w:val="000B501A"/>
    <w:rsid w:val="000B5B08"/>
    <w:rsid w:val="000B5D46"/>
    <w:rsid w:val="000B6508"/>
    <w:rsid w:val="000B6597"/>
    <w:rsid w:val="000B6712"/>
    <w:rsid w:val="000B7674"/>
    <w:rsid w:val="000B76F3"/>
    <w:rsid w:val="000B79E5"/>
    <w:rsid w:val="000B7C23"/>
    <w:rsid w:val="000B7F60"/>
    <w:rsid w:val="000C01A1"/>
    <w:rsid w:val="000C1DF3"/>
    <w:rsid w:val="000C20FC"/>
    <w:rsid w:val="000C23C3"/>
    <w:rsid w:val="000C2AB6"/>
    <w:rsid w:val="000C2B7B"/>
    <w:rsid w:val="000C3228"/>
    <w:rsid w:val="000C42B8"/>
    <w:rsid w:val="000C4903"/>
    <w:rsid w:val="000C4D5A"/>
    <w:rsid w:val="000C4EF8"/>
    <w:rsid w:val="000C5870"/>
    <w:rsid w:val="000C5A1B"/>
    <w:rsid w:val="000C63D3"/>
    <w:rsid w:val="000C64EC"/>
    <w:rsid w:val="000C65E1"/>
    <w:rsid w:val="000C70AA"/>
    <w:rsid w:val="000D0371"/>
    <w:rsid w:val="000D0A32"/>
    <w:rsid w:val="000D1375"/>
    <w:rsid w:val="000D1952"/>
    <w:rsid w:val="000D27C9"/>
    <w:rsid w:val="000D2882"/>
    <w:rsid w:val="000D296E"/>
    <w:rsid w:val="000D312B"/>
    <w:rsid w:val="000D38CE"/>
    <w:rsid w:val="000D3D4F"/>
    <w:rsid w:val="000D63A5"/>
    <w:rsid w:val="000D6BF5"/>
    <w:rsid w:val="000D6D86"/>
    <w:rsid w:val="000D7027"/>
    <w:rsid w:val="000E158C"/>
    <w:rsid w:val="000E212C"/>
    <w:rsid w:val="000E2F79"/>
    <w:rsid w:val="000E3FC4"/>
    <w:rsid w:val="000E4564"/>
    <w:rsid w:val="000E4BFD"/>
    <w:rsid w:val="000E4FC1"/>
    <w:rsid w:val="000E5E0C"/>
    <w:rsid w:val="000E6001"/>
    <w:rsid w:val="000E6282"/>
    <w:rsid w:val="000E7721"/>
    <w:rsid w:val="000F01EE"/>
    <w:rsid w:val="000F02F3"/>
    <w:rsid w:val="000F032F"/>
    <w:rsid w:val="000F0507"/>
    <w:rsid w:val="000F060E"/>
    <w:rsid w:val="000F0D5A"/>
    <w:rsid w:val="000F1B83"/>
    <w:rsid w:val="000F26A3"/>
    <w:rsid w:val="000F3338"/>
    <w:rsid w:val="000F3B20"/>
    <w:rsid w:val="000F4089"/>
    <w:rsid w:val="000F5742"/>
    <w:rsid w:val="000F63A1"/>
    <w:rsid w:val="000F6A83"/>
    <w:rsid w:val="000F6CBF"/>
    <w:rsid w:val="000F77E5"/>
    <w:rsid w:val="00100CAA"/>
    <w:rsid w:val="001010DA"/>
    <w:rsid w:val="00101397"/>
    <w:rsid w:val="00101E6B"/>
    <w:rsid w:val="00101F28"/>
    <w:rsid w:val="00103936"/>
    <w:rsid w:val="001039E1"/>
    <w:rsid w:val="001040A9"/>
    <w:rsid w:val="00104241"/>
    <w:rsid w:val="00104492"/>
    <w:rsid w:val="00104862"/>
    <w:rsid w:val="001049FC"/>
    <w:rsid w:val="00104EC5"/>
    <w:rsid w:val="001059DC"/>
    <w:rsid w:val="00105E6C"/>
    <w:rsid w:val="0010704A"/>
    <w:rsid w:val="001071EB"/>
    <w:rsid w:val="00110787"/>
    <w:rsid w:val="00110BF0"/>
    <w:rsid w:val="00110C67"/>
    <w:rsid w:val="0011168D"/>
    <w:rsid w:val="001116BD"/>
    <w:rsid w:val="00111702"/>
    <w:rsid w:val="001125C6"/>
    <w:rsid w:val="00112D38"/>
    <w:rsid w:val="00112FA2"/>
    <w:rsid w:val="001133BC"/>
    <w:rsid w:val="0011350E"/>
    <w:rsid w:val="00113CE3"/>
    <w:rsid w:val="00114349"/>
    <w:rsid w:val="001159C3"/>
    <w:rsid w:val="00117364"/>
    <w:rsid w:val="00117A98"/>
    <w:rsid w:val="00117DBF"/>
    <w:rsid w:val="0012083B"/>
    <w:rsid w:val="00121082"/>
    <w:rsid w:val="001215A4"/>
    <w:rsid w:val="001221F8"/>
    <w:rsid w:val="00122FCF"/>
    <w:rsid w:val="00124ED3"/>
    <w:rsid w:val="001258B8"/>
    <w:rsid w:val="00125AFF"/>
    <w:rsid w:val="00125E34"/>
    <w:rsid w:val="0012615E"/>
    <w:rsid w:val="001262DF"/>
    <w:rsid w:val="00127217"/>
    <w:rsid w:val="0012758B"/>
    <w:rsid w:val="00127829"/>
    <w:rsid w:val="001279AE"/>
    <w:rsid w:val="001279BC"/>
    <w:rsid w:val="00127C07"/>
    <w:rsid w:val="00127CA5"/>
    <w:rsid w:val="001301EF"/>
    <w:rsid w:val="001313A7"/>
    <w:rsid w:val="00131455"/>
    <w:rsid w:val="00131C53"/>
    <w:rsid w:val="00131FD5"/>
    <w:rsid w:val="001329E3"/>
    <w:rsid w:val="001335AB"/>
    <w:rsid w:val="00134BB1"/>
    <w:rsid w:val="00136106"/>
    <w:rsid w:val="00137033"/>
    <w:rsid w:val="001372DE"/>
    <w:rsid w:val="0013777B"/>
    <w:rsid w:val="00140DB6"/>
    <w:rsid w:val="001424EC"/>
    <w:rsid w:val="0014320D"/>
    <w:rsid w:val="001435AC"/>
    <w:rsid w:val="00143BF0"/>
    <w:rsid w:val="00143E89"/>
    <w:rsid w:val="00144F15"/>
    <w:rsid w:val="0014512C"/>
    <w:rsid w:val="00145604"/>
    <w:rsid w:val="00147DD2"/>
    <w:rsid w:val="00147EED"/>
    <w:rsid w:val="001502C2"/>
    <w:rsid w:val="00150AB5"/>
    <w:rsid w:val="00150CBC"/>
    <w:rsid w:val="001511E0"/>
    <w:rsid w:val="00151548"/>
    <w:rsid w:val="00151AFF"/>
    <w:rsid w:val="00152474"/>
    <w:rsid w:val="00153D4A"/>
    <w:rsid w:val="00153E60"/>
    <w:rsid w:val="00153E88"/>
    <w:rsid w:val="00154C5F"/>
    <w:rsid w:val="00154C8C"/>
    <w:rsid w:val="00155D77"/>
    <w:rsid w:val="00156203"/>
    <w:rsid w:val="00157448"/>
    <w:rsid w:val="001575C4"/>
    <w:rsid w:val="00157864"/>
    <w:rsid w:val="00160AF7"/>
    <w:rsid w:val="0016101F"/>
    <w:rsid w:val="00161BC7"/>
    <w:rsid w:val="00161F0F"/>
    <w:rsid w:val="00162767"/>
    <w:rsid w:val="001638A6"/>
    <w:rsid w:val="00164A10"/>
    <w:rsid w:val="001652AF"/>
    <w:rsid w:val="00167033"/>
    <w:rsid w:val="0016716D"/>
    <w:rsid w:val="0016751E"/>
    <w:rsid w:val="00167D23"/>
    <w:rsid w:val="00170A83"/>
    <w:rsid w:val="00170F9C"/>
    <w:rsid w:val="00171A94"/>
    <w:rsid w:val="00172109"/>
    <w:rsid w:val="00172292"/>
    <w:rsid w:val="001725C8"/>
    <w:rsid w:val="00172952"/>
    <w:rsid w:val="0017343F"/>
    <w:rsid w:val="00175373"/>
    <w:rsid w:val="00175685"/>
    <w:rsid w:val="00176220"/>
    <w:rsid w:val="001762C1"/>
    <w:rsid w:val="00176444"/>
    <w:rsid w:val="001765D7"/>
    <w:rsid w:val="00176A4C"/>
    <w:rsid w:val="00176C8C"/>
    <w:rsid w:val="0017700B"/>
    <w:rsid w:val="00177824"/>
    <w:rsid w:val="00177EDB"/>
    <w:rsid w:val="0018001B"/>
    <w:rsid w:val="0018005D"/>
    <w:rsid w:val="00182ED5"/>
    <w:rsid w:val="00184094"/>
    <w:rsid w:val="0018415B"/>
    <w:rsid w:val="00184621"/>
    <w:rsid w:val="001847D6"/>
    <w:rsid w:val="0018562A"/>
    <w:rsid w:val="001856EA"/>
    <w:rsid w:val="0018628C"/>
    <w:rsid w:val="001867A8"/>
    <w:rsid w:val="00186994"/>
    <w:rsid w:val="001875F4"/>
    <w:rsid w:val="00191149"/>
    <w:rsid w:val="00192740"/>
    <w:rsid w:val="00193256"/>
    <w:rsid w:val="001933BD"/>
    <w:rsid w:val="00193A60"/>
    <w:rsid w:val="00194173"/>
    <w:rsid w:val="0019538E"/>
    <w:rsid w:val="00195A41"/>
    <w:rsid w:val="00195E4E"/>
    <w:rsid w:val="00195FC9"/>
    <w:rsid w:val="001968D4"/>
    <w:rsid w:val="001972C5"/>
    <w:rsid w:val="001A0D84"/>
    <w:rsid w:val="001A0F38"/>
    <w:rsid w:val="001A2FB2"/>
    <w:rsid w:val="001A3E42"/>
    <w:rsid w:val="001A4EBC"/>
    <w:rsid w:val="001A5AAA"/>
    <w:rsid w:val="001A5C77"/>
    <w:rsid w:val="001A5DA7"/>
    <w:rsid w:val="001A5E9D"/>
    <w:rsid w:val="001A5EBD"/>
    <w:rsid w:val="001A63EE"/>
    <w:rsid w:val="001A7DB3"/>
    <w:rsid w:val="001B0068"/>
    <w:rsid w:val="001B0150"/>
    <w:rsid w:val="001B042F"/>
    <w:rsid w:val="001B0AF5"/>
    <w:rsid w:val="001B15CE"/>
    <w:rsid w:val="001B18F3"/>
    <w:rsid w:val="001B1F9C"/>
    <w:rsid w:val="001B208E"/>
    <w:rsid w:val="001B33BA"/>
    <w:rsid w:val="001B39A4"/>
    <w:rsid w:val="001B42D1"/>
    <w:rsid w:val="001B44EC"/>
    <w:rsid w:val="001B49BD"/>
    <w:rsid w:val="001B535C"/>
    <w:rsid w:val="001B53E5"/>
    <w:rsid w:val="001B6551"/>
    <w:rsid w:val="001B669A"/>
    <w:rsid w:val="001B7333"/>
    <w:rsid w:val="001B7639"/>
    <w:rsid w:val="001C0928"/>
    <w:rsid w:val="001C1643"/>
    <w:rsid w:val="001C1E48"/>
    <w:rsid w:val="001C2AB7"/>
    <w:rsid w:val="001C332F"/>
    <w:rsid w:val="001C36B2"/>
    <w:rsid w:val="001C4D99"/>
    <w:rsid w:val="001C564C"/>
    <w:rsid w:val="001C5EEF"/>
    <w:rsid w:val="001C641D"/>
    <w:rsid w:val="001C6A64"/>
    <w:rsid w:val="001C6DFC"/>
    <w:rsid w:val="001C70A2"/>
    <w:rsid w:val="001C75F5"/>
    <w:rsid w:val="001C78DC"/>
    <w:rsid w:val="001C7C25"/>
    <w:rsid w:val="001C7EE1"/>
    <w:rsid w:val="001D17DA"/>
    <w:rsid w:val="001D1B6C"/>
    <w:rsid w:val="001D1C7D"/>
    <w:rsid w:val="001D1E4E"/>
    <w:rsid w:val="001D1F61"/>
    <w:rsid w:val="001D2D2A"/>
    <w:rsid w:val="001D2F58"/>
    <w:rsid w:val="001D34B3"/>
    <w:rsid w:val="001D37BA"/>
    <w:rsid w:val="001D3DA5"/>
    <w:rsid w:val="001D456D"/>
    <w:rsid w:val="001D479F"/>
    <w:rsid w:val="001D4C43"/>
    <w:rsid w:val="001D5AF7"/>
    <w:rsid w:val="001D5CAB"/>
    <w:rsid w:val="001D5CDE"/>
    <w:rsid w:val="001D679A"/>
    <w:rsid w:val="001D683E"/>
    <w:rsid w:val="001D68A9"/>
    <w:rsid w:val="001D6F46"/>
    <w:rsid w:val="001D7011"/>
    <w:rsid w:val="001D7343"/>
    <w:rsid w:val="001D7D6D"/>
    <w:rsid w:val="001E0B0D"/>
    <w:rsid w:val="001E1114"/>
    <w:rsid w:val="001E1964"/>
    <w:rsid w:val="001E1F5D"/>
    <w:rsid w:val="001E1FBB"/>
    <w:rsid w:val="001E24A3"/>
    <w:rsid w:val="001E277F"/>
    <w:rsid w:val="001E559A"/>
    <w:rsid w:val="001E5ED2"/>
    <w:rsid w:val="001E614B"/>
    <w:rsid w:val="001E62DC"/>
    <w:rsid w:val="001E63C9"/>
    <w:rsid w:val="001E6407"/>
    <w:rsid w:val="001E735C"/>
    <w:rsid w:val="001E755E"/>
    <w:rsid w:val="001E79FD"/>
    <w:rsid w:val="001E7F08"/>
    <w:rsid w:val="001E7F9E"/>
    <w:rsid w:val="001F09D4"/>
    <w:rsid w:val="001F0E6A"/>
    <w:rsid w:val="001F11BB"/>
    <w:rsid w:val="001F12EC"/>
    <w:rsid w:val="001F1719"/>
    <w:rsid w:val="001F227A"/>
    <w:rsid w:val="001F5D8B"/>
    <w:rsid w:val="001F62B7"/>
    <w:rsid w:val="001F6326"/>
    <w:rsid w:val="001F6A0C"/>
    <w:rsid w:val="001F6C40"/>
    <w:rsid w:val="001F7357"/>
    <w:rsid w:val="00200E08"/>
    <w:rsid w:val="00201183"/>
    <w:rsid w:val="00201D79"/>
    <w:rsid w:val="00202EC4"/>
    <w:rsid w:val="002030CB"/>
    <w:rsid w:val="00203D75"/>
    <w:rsid w:val="002042BE"/>
    <w:rsid w:val="00204377"/>
    <w:rsid w:val="00204A85"/>
    <w:rsid w:val="0020513B"/>
    <w:rsid w:val="002059AE"/>
    <w:rsid w:val="00206058"/>
    <w:rsid w:val="0020623C"/>
    <w:rsid w:val="002065E9"/>
    <w:rsid w:val="00206673"/>
    <w:rsid w:val="00206B62"/>
    <w:rsid w:val="00206F56"/>
    <w:rsid w:val="00207CD1"/>
    <w:rsid w:val="00210F90"/>
    <w:rsid w:val="0021215D"/>
    <w:rsid w:val="00213216"/>
    <w:rsid w:val="0021342D"/>
    <w:rsid w:val="002137DA"/>
    <w:rsid w:val="0021422E"/>
    <w:rsid w:val="0021451E"/>
    <w:rsid w:val="00214542"/>
    <w:rsid w:val="00214A12"/>
    <w:rsid w:val="00215044"/>
    <w:rsid w:val="002154A8"/>
    <w:rsid w:val="00216152"/>
    <w:rsid w:val="002163AE"/>
    <w:rsid w:val="00216C7B"/>
    <w:rsid w:val="00216CE1"/>
    <w:rsid w:val="00217119"/>
    <w:rsid w:val="0022084B"/>
    <w:rsid w:val="002208E8"/>
    <w:rsid w:val="00220CDF"/>
    <w:rsid w:val="00220E99"/>
    <w:rsid w:val="00221275"/>
    <w:rsid w:val="00221CF4"/>
    <w:rsid w:val="002221EA"/>
    <w:rsid w:val="002226F2"/>
    <w:rsid w:val="0022288B"/>
    <w:rsid w:val="00222D35"/>
    <w:rsid w:val="00222E2D"/>
    <w:rsid w:val="00223A4C"/>
    <w:rsid w:val="00223B14"/>
    <w:rsid w:val="00224D50"/>
    <w:rsid w:val="00225066"/>
    <w:rsid w:val="0022581C"/>
    <w:rsid w:val="0022694E"/>
    <w:rsid w:val="00226DF7"/>
    <w:rsid w:val="00227615"/>
    <w:rsid w:val="00227800"/>
    <w:rsid w:val="0022799E"/>
    <w:rsid w:val="00230C0F"/>
    <w:rsid w:val="00230C84"/>
    <w:rsid w:val="00230CAF"/>
    <w:rsid w:val="00230D85"/>
    <w:rsid w:val="00230DE2"/>
    <w:rsid w:val="002324CA"/>
    <w:rsid w:val="0023286A"/>
    <w:rsid w:val="00233330"/>
    <w:rsid w:val="00233A17"/>
    <w:rsid w:val="00233CFF"/>
    <w:rsid w:val="002349EB"/>
    <w:rsid w:val="00234DE3"/>
    <w:rsid w:val="002352B1"/>
    <w:rsid w:val="00235722"/>
    <w:rsid w:val="00235B9A"/>
    <w:rsid w:val="00236944"/>
    <w:rsid w:val="002369C1"/>
    <w:rsid w:val="00236EA7"/>
    <w:rsid w:val="002376FB"/>
    <w:rsid w:val="00237915"/>
    <w:rsid w:val="00240590"/>
    <w:rsid w:val="00240674"/>
    <w:rsid w:val="00240BA6"/>
    <w:rsid w:val="00240BCB"/>
    <w:rsid w:val="00240EDA"/>
    <w:rsid w:val="00241218"/>
    <w:rsid w:val="00241C5B"/>
    <w:rsid w:val="00242378"/>
    <w:rsid w:val="002423AF"/>
    <w:rsid w:val="00242B0D"/>
    <w:rsid w:val="002431E4"/>
    <w:rsid w:val="0024352D"/>
    <w:rsid w:val="0024352E"/>
    <w:rsid w:val="00243F1E"/>
    <w:rsid w:val="002445D0"/>
    <w:rsid w:val="00244877"/>
    <w:rsid w:val="002465C6"/>
    <w:rsid w:val="00246767"/>
    <w:rsid w:val="00247451"/>
    <w:rsid w:val="00251866"/>
    <w:rsid w:val="00251A79"/>
    <w:rsid w:val="00251EDB"/>
    <w:rsid w:val="002525F7"/>
    <w:rsid w:val="0025278F"/>
    <w:rsid w:val="002532BE"/>
    <w:rsid w:val="002546F0"/>
    <w:rsid w:val="002549CB"/>
    <w:rsid w:val="00255A7B"/>
    <w:rsid w:val="00255E54"/>
    <w:rsid w:val="00256404"/>
    <w:rsid w:val="00256E8F"/>
    <w:rsid w:val="002574AE"/>
    <w:rsid w:val="00257F0E"/>
    <w:rsid w:val="00261963"/>
    <w:rsid w:val="002629F1"/>
    <w:rsid w:val="00262C14"/>
    <w:rsid w:val="00263070"/>
    <w:rsid w:val="002631A2"/>
    <w:rsid w:val="002651BC"/>
    <w:rsid w:val="00265DAB"/>
    <w:rsid w:val="00265FFB"/>
    <w:rsid w:val="0026682F"/>
    <w:rsid w:val="00270EF4"/>
    <w:rsid w:val="00271801"/>
    <w:rsid w:val="00271F3C"/>
    <w:rsid w:val="00272918"/>
    <w:rsid w:val="00272E4C"/>
    <w:rsid w:val="00273865"/>
    <w:rsid w:val="002750E9"/>
    <w:rsid w:val="002758AB"/>
    <w:rsid w:val="00275A31"/>
    <w:rsid w:val="00275BF3"/>
    <w:rsid w:val="0027647D"/>
    <w:rsid w:val="0027680F"/>
    <w:rsid w:val="00276E58"/>
    <w:rsid w:val="00277F36"/>
    <w:rsid w:val="002809D6"/>
    <w:rsid w:val="0028103E"/>
    <w:rsid w:val="00282237"/>
    <w:rsid w:val="00282DD2"/>
    <w:rsid w:val="00283A30"/>
    <w:rsid w:val="00283DED"/>
    <w:rsid w:val="00284BDF"/>
    <w:rsid w:val="00284CFF"/>
    <w:rsid w:val="002860CF"/>
    <w:rsid w:val="00286B9C"/>
    <w:rsid w:val="00286FC3"/>
    <w:rsid w:val="00287883"/>
    <w:rsid w:val="00287B41"/>
    <w:rsid w:val="00290475"/>
    <w:rsid w:val="0029052F"/>
    <w:rsid w:val="00290848"/>
    <w:rsid w:val="002912CA"/>
    <w:rsid w:val="00291DA5"/>
    <w:rsid w:val="002920E8"/>
    <w:rsid w:val="002921E8"/>
    <w:rsid w:val="002923C9"/>
    <w:rsid w:val="00292D91"/>
    <w:rsid w:val="00292DEF"/>
    <w:rsid w:val="002938D2"/>
    <w:rsid w:val="0029566A"/>
    <w:rsid w:val="0029687D"/>
    <w:rsid w:val="00296A62"/>
    <w:rsid w:val="00296D94"/>
    <w:rsid w:val="002975B4"/>
    <w:rsid w:val="00297BAF"/>
    <w:rsid w:val="00297F28"/>
    <w:rsid w:val="00297F91"/>
    <w:rsid w:val="002A00DF"/>
    <w:rsid w:val="002A06E2"/>
    <w:rsid w:val="002A0CFF"/>
    <w:rsid w:val="002A1134"/>
    <w:rsid w:val="002A250A"/>
    <w:rsid w:val="002A2FFE"/>
    <w:rsid w:val="002A3263"/>
    <w:rsid w:val="002A33C4"/>
    <w:rsid w:val="002A4E6A"/>
    <w:rsid w:val="002A546B"/>
    <w:rsid w:val="002A6921"/>
    <w:rsid w:val="002B1461"/>
    <w:rsid w:val="002B19DE"/>
    <w:rsid w:val="002B1CA7"/>
    <w:rsid w:val="002B2F47"/>
    <w:rsid w:val="002B4CAA"/>
    <w:rsid w:val="002B5A09"/>
    <w:rsid w:val="002B603F"/>
    <w:rsid w:val="002B6C96"/>
    <w:rsid w:val="002B7536"/>
    <w:rsid w:val="002B7695"/>
    <w:rsid w:val="002C233C"/>
    <w:rsid w:val="002C2C6F"/>
    <w:rsid w:val="002C32C5"/>
    <w:rsid w:val="002C3C27"/>
    <w:rsid w:val="002C3DE6"/>
    <w:rsid w:val="002C3E3C"/>
    <w:rsid w:val="002C4434"/>
    <w:rsid w:val="002C51D1"/>
    <w:rsid w:val="002C6D79"/>
    <w:rsid w:val="002C7E26"/>
    <w:rsid w:val="002D001F"/>
    <w:rsid w:val="002D0989"/>
    <w:rsid w:val="002D0A36"/>
    <w:rsid w:val="002D1387"/>
    <w:rsid w:val="002D1733"/>
    <w:rsid w:val="002D1E27"/>
    <w:rsid w:val="002D2D1B"/>
    <w:rsid w:val="002D3168"/>
    <w:rsid w:val="002D31B3"/>
    <w:rsid w:val="002D4899"/>
    <w:rsid w:val="002D4CD7"/>
    <w:rsid w:val="002D5220"/>
    <w:rsid w:val="002D5DF8"/>
    <w:rsid w:val="002D5F1F"/>
    <w:rsid w:val="002D6622"/>
    <w:rsid w:val="002D728E"/>
    <w:rsid w:val="002D7C31"/>
    <w:rsid w:val="002E0715"/>
    <w:rsid w:val="002E0C57"/>
    <w:rsid w:val="002E10E2"/>
    <w:rsid w:val="002E1A57"/>
    <w:rsid w:val="002E2118"/>
    <w:rsid w:val="002E3192"/>
    <w:rsid w:val="002E343C"/>
    <w:rsid w:val="002E3F44"/>
    <w:rsid w:val="002E48CC"/>
    <w:rsid w:val="002E66B0"/>
    <w:rsid w:val="002E6B33"/>
    <w:rsid w:val="002E6EB2"/>
    <w:rsid w:val="002E7283"/>
    <w:rsid w:val="002F0493"/>
    <w:rsid w:val="002F12DD"/>
    <w:rsid w:val="002F172C"/>
    <w:rsid w:val="002F20E1"/>
    <w:rsid w:val="002F2B80"/>
    <w:rsid w:val="002F2F78"/>
    <w:rsid w:val="002F34F4"/>
    <w:rsid w:val="002F37CB"/>
    <w:rsid w:val="002F3B15"/>
    <w:rsid w:val="002F3FED"/>
    <w:rsid w:val="002F4516"/>
    <w:rsid w:val="002F4BF6"/>
    <w:rsid w:val="002F505B"/>
    <w:rsid w:val="002F5442"/>
    <w:rsid w:val="002F5532"/>
    <w:rsid w:val="002F593E"/>
    <w:rsid w:val="002F67B7"/>
    <w:rsid w:val="002F6B34"/>
    <w:rsid w:val="002F78D2"/>
    <w:rsid w:val="002F7DE0"/>
    <w:rsid w:val="00300C41"/>
    <w:rsid w:val="00302991"/>
    <w:rsid w:val="0030315E"/>
    <w:rsid w:val="003035A7"/>
    <w:rsid w:val="003037EC"/>
    <w:rsid w:val="00303E3E"/>
    <w:rsid w:val="003051B1"/>
    <w:rsid w:val="00305F9B"/>
    <w:rsid w:val="00306632"/>
    <w:rsid w:val="003072D9"/>
    <w:rsid w:val="00307A11"/>
    <w:rsid w:val="003105C2"/>
    <w:rsid w:val="00311016"/>
    <w:rsid w:val="00311E54"/>
    <w:rsid w:val="0031244A"/>
    <w:rsid w:val="00312669"/>
    <w:rsid w:val="00312CF2"/>
    <w:rsid w:val="003137E6"/>
    <w:rsid w:val="0031387E"/>
    <w:rsid w:val="00313E2D"/>
    <w:rsid w:val="00314F07"/>
    <w:rsid w:val="003165A2"/>
    <w:rsid w:val="00316C80"/>
    <w:rsid w:val="00316F12"/>
    <w:rsid w:val="0031702E"/>
    <w:rsid w:val="003212A1"/>
    <w:rsid w:val="00321DBF"/>
    <w:rsid w:val="00322EAB"/>
    <w:rsid w:val="003234B7"/>
    <w:rsid w:val="00323507"/>
    <w:rsid w:val="0032471D"/>
    <w:rsid w:val="00324D3B"/>
    <w:rsid w:val="00325476"/>
    <w:rsid w:val="00326525"/>
    <w:rsid w:val="0032699E"/>
    <w:rsid w:val="003274EF"/>
    <w:rsid w:val="003278E4"/>
    <w:rsid w:val="003304E6"/>
    <w:rsid w:val="0033274F"/>
    <w:rsid w:val="00332EF1"/>
    <w:rsid w:val="003331EE"/>
    <w:rsid w:val="00334971"/>
    <w:rsid w:val="00334E1E"/>
    <w:rsid w:val="00335360"/>
    <w:rsid w:val="003361AF"/>
    <w:rsid w:val="00336A77"/>
    <w:rsid w:val="00336F12"/>
    <w:rsid w:val="00337171"/>
    <w:rsid w:val="00341149"/>
    <w:rsid w:val="00341840"/>
    <w:rsid w:val="00342003"/>
    <w:rsid w:val="0034214F"/>
    <w:rsid w:val="00343EF3"/>
    <w:rsid w:val="00344FD6"/>
    <w:rsid w:val="00345385"/>
    <w:rsid w:val="00345901"/>
    <w:rsid w:val="00345AEC"/>
    <w:rsid w:val="00345BFF"/>
    <w:rsid w:val="00346F31"/>
    <w:rsid w:val="00346FA6"/>
    <w:rsid w:val="003472A6"/>
    <w:rsid w:val="00347903"/>
    <w:rsid w:val="00350BE0"/>
    <w:rsid w:val="003518C3"/>
    <w:rsid w:val="003521BA"/>
    <w:rsid w:val="00352F05"/>
    <w:rsid w:val="00353244"/>
    <w:rsid w:val="003533AD"/>
    <w:rsid w:val="003536C6"/>
    <w:rsid w:val="00353DEF"/>
    <w:rsid w:val="00354637"/>
    <w:rsid w:val="00354B6B"/>
    <w:rsid w:val="0035552B"/>
    <w:rsid w:val="00355C7E"/>
    <w:rsid w:val="003564B3"/>
    <w:rsid w:val="00356E04"/>
    <w:rsid w:val="00357FA3"/>
    <w:rsid w:val="00360637"/>
    <w:rsid w:val="00360CE0"/>
    <w:rsid w:val="003618D2"/>
    <w:rsid w:val="0036379E"/>
    <w:rsid w:val="003637C1"/>
    <w:rsid w:val="0036385E"/>
    <w:rsid w:val="00364FF6"/>
    <w:rsid w:val="00365612"/>
    <w:rsid w:val="0036565A"/>
    <w:rsid w:val="00365C3D"/>
    <w:rsid w:val="00366AAA"/>
    <w:rsid w:val="00366AC0"/>
    <w:rsid w:val="00366C50"/>
    <w:rsid w:val="003673CC"/>
    <w:rsid w:val="00367BE0"/>
    <w:rsid w:val="00367C94"/>
    <w:rsid w:val="00370219"/>
    <w:rsid w:val="00370467"/>
    <w:rsid w:val="003707FC"/>
    <w:rsid w:val="00370B74"/>
    <w:rsid w:val="00370E9E"/>
    <w:rsid w:val="003710CC"/>
    <w:rsid w:val="003714E6"/>
    <w:rsid w:val="003716C4"/>
    <w:rsid w:val="00371F30"/>
    <w:rsid w:val="00371F88"/>
    <w:rsid w:val="00372AED"/>
    <w:rsid w:val="00373A71"/>
    <w:rsid w:val="00373AB1"/>
    <w:rsid w:val="003741B4"/>
    <w:rsid w:val="00375079"/>
    <w:rsid w:val="00375164"/>
    <w:rsid w:val="003755C7"/>
    <w:rsid w:val="00376ADB"/>
    <w:rsid w:val="00377336"/>
    <w:rsid w:val="0038225F"/>
    <w:rsid w:val="00382511"/>
    <w:rsid w:val="00382B8E"/>
    <w:rsid w:val="00382E6B"/>
    <w:rsid w:val="0038371D"/>
    <w:rsid w:val="00383A23"/>
    <w:rsid w:val="00383CBC"/>
    <w:rsid w:val="00383F75"/>
    <w:rsid w:val="0038452B"/>
    <w:rsid w:val="00384E9F"/>
    <w:rsid w:val="00384F83"/>
    <w:rsid w:val="00385DE3"/>
    <w:rsid w:val="003871BE"/>
    <w:rsid w:val="0038746D"/>
    <w:rsid w:val="00391256"/>
    <w:rsid w:val="003914BE"/>
    <w:rsid w:val="00392851"/>
    <w:rsid w:val="00392912"/>
    <w:rsid w:val="00392BD4"/>
    <w:rsid w:val="0039302D"/>
    <w:rsid w:val="00393955"/>
    <w:rsid w:val="00393D4B"/>
    <w:rsid w:val="0039452B"/>
    <w:rsid w:val="00394A6E"/>
    <w:rsid w:val="003959FD"/>
    <w:rsid w:val="00396127"/>
    <w:rsid w:val="003962B6"/>
    <w:rsid w:val="003A0D1E"/>
    <w:rsid w:val="003A162C"/>
    <w:rsid w:val="003A193A"/>
    <w:rsid w:val="003A252D"/>
    <w:rsid w:val="003A394F"/>
    <w:rsid w:val="003A3EE8"/>
    <w:rsid w:val="003A3FFB"/>
    <w:rsid w:val="003A4380"/>
    <w:rsid w:val="003A4390"/>
    <w:rsid w:val="003A4CEA"/>
    <w:rsid w:val="003A4D8C"/>
    <w:rsid w:val="003A4DB6"/>
    <w:rsid w:val="003A5B44"/>
    <w:rsid w:val="003A5CD0"/>
    <w:rsid w:val="003A73AE"/>
    <w:rsid w:val="003A751A"/>
    <w:rsid w:val="003A7646"/>
    <w:rsid w:val="003A7A00"/>
    <w:rsid w:val="003A7AF1"/>
    <w:rsid w:val="003B0E9B"/>
    <w:rsid w:val="003B2380"/>
    <w:rsid w:val="003B287F"/>
    <w:rsid w:val="003B32A5"/>
    <w:rsid w:val="003B375D"/>
    <w:rsid w:val="003B4077"/>
    <w:rsid w:val="003B4E76"/>
    <w:rsid w:val="003B5A34"/>
    <w:rsid w:val="003B6655"/>
    <w:rsid w:val="003B6A85"/>
    <w:rsid w:val="003B6E52"/>
    <w:rsid w:val="003B6ECC"/>
    <w:rsid w:val="003C0665"/>
    <w:rsid w:val="003C2819"/>
    <w:rsid w:val="003C3166"/>
    <w:rsid w:val="003C361E"/>
    <w:rsid w:val="003C3BE6"/>
    <w:rsid w:val="003C3F28"/>
    <w:rsid w:val="003C49D1"/>
    <w:rsid w:val="003C5CEE"/>
    <w:rsid w:val="003C5ED4"/>
    <w:rsid w:val="003C62AA"/>
    <w:rsid w:val="003C63DA"/>
    <w:rsid w:val="003C6E84"/>
    <w:rsid w:val="003C74C0"/>
    <w:rsid w:val="003C7C03"/>
    <w:rsid w:val="003D0DD9"/>
    <w:rsid w:val="003D2233"/>
    <w:rsid w:val="003D3215"/>
    <w:rsid w:val="003D3644"/>
    <w:rsid w:val="003D3D9C"/>
    <w:rsid w:val="003D453D"/>
    <w:rsid w:val="003D4D6B"/>
    <w:rsid w:val="003E13C7"/>
    <w:rsid w:val="003E3C43"/>
    <w:rsid w:val="003E3CCF"/>
    <w:rsid w:val="003E4677"/>
    <w:rsid w:val="003E49CA"/>
    <w:rsid w:val="003E56CC"/>
    <w:rsid w:val="003E5D93"/>
    <w:rsid w:val="003E6187"/>
    <w:rsid w:val="003E7096"/>
    <w:rsid w:val="003F003A"/>
    <w:rsid w:val="003F0778"/>
    <w:rsid w:val="003F1D2A"/>
    <w:rsid w:val="003F22E3"/>
    <w:rsid w:val="003F2E5F"/>
    <w:rsid w:val="003F3F6C"/>
    <w:rsid w:val="003F4611"/>
    <w:rsid w:val="003F4BED"/>
    <w:rsid w:val="003F4D1C"/>
    <w:rsid w:val="003F5C48"/>
    <w:rsid w:val="003F673C"/>
    <w:rsid w:val="003F6CE7"/>
    <w:rsid w:val="003F70E3"/>
    <w:rsid w:val="003F73E7"/>
    <w:rsid w:val="003F7590"/>
    <w:rsid w:val="003F76A7"/>
    <w:rsid w:val="003F7732"/>
    <w:rsid w:val="003F7A6E"/>
    <w:rsid w:val="003F7E8A"/>
    <w:rsid w:val="003F7F47"/>
    <w:rsid w:val="00401339"/>
    <w:rsid w:val="00401758"/>
    <w:rsid w:val="00401B87"/>
    <w:rsid w:val="00402822"/>
    <w:rsid w:val="00402CA4"/>
    <w:rsid w:val="004034AF"/>
    <w:rsid w:val="0040462D"/>
    <w:rsid w:val="004051DE"/>
    <w:rsid w:val="0040617A"/>
    <w:rsid w:val="00406385"/>
    <w:rsid w:val="004070B4"/>
    <w:rsid w:val="00407221"/>
    <w:rsid w:val="00407677"/>
    <w:rsid w:val="00407F9B"/>
    <w:rsid w:val="004106DC"/>
    <w:rsid w:val="0041097E"/>
    <w:rsid w:val="00411481"/>
    <w:rsid w:val="0041165D"/>
    <w:rsid w:val="0041227E"/>
    <w:rsid w:val="004122E3"/>
    <w:rsid w:val="00412AAB"/>
    <w:rsid w:val="004130E3"/>
    <w:rsid w:val="004131D8"/>
    <w:rsid w:val="0041373D"/>
    <w:rsid w:val="004156E4"/>
    <w:rsid w:val="004161BE"/>
    <w:rsid w:val="00416444"/>
    <w:rsid w:val="004165A2"/>
    <w:rsid w:val="0041747D"/>
    <w:rsid w:val="0041761E"/>
    <w:rsid w:val="00417B56"/>
    <w:rsid w:val="00417DDF"/>
    <w:rsid w:val="0042006B"/>
    <w:rsid w:val="00420C82"/>
    <w:rsid w:val="00420DB6"/>
    <w:rsid w:val="00421D07"/>
    <w:rsid w:val="00421F56"/>
    <w:rsid w:val="00422F8A"/>
    <w:rsid w:val="004256C4"/>
    <w:rsid w:val="004258F1"/>
    <w:rsid w:val="00426FAF"/>
    <w:rsid w:val="00430645"/>
    <w:rsid w:val="004314FE"/>
    <w:rsid w:val="00432273"/>
    <w:rsid w:val="00432C5F"/>
    <w:rsid w:val="00433453"/>
    <w:rsid w:val="004336B5"/>
    <w:rsid w:val="004347D6"/>
    <w:rsid w:val="00434F8F"/>
    <w:rsid w:val="00435E20"/>
    <w:rsid w:val="004365D5"/>
    <w:rsid w:val="00436CB0"/>
    <w:rsid w:val="00436FC7"/>
    <w:rsid w:val="0043719F"/>
    <w:rsid w:val="004374CF"/>
    <w:rsid w:val="004377D6"/>
    <w:rsid w:val="00437A47"/>
    <w:rsid w:val="00437FA7"/>
    <w:rsid w:val="00440C46"/>
    <w:rsid w:val="004411DF"/>
    <w:rsid w:val="00442AA1"/>
    <w:rsid w:val="004430FE"/>
    <w:rsid w:val="00443F19"/>
    <w:rsid w:val="004443CE"/>
    <w:rsid w:val="00444EE4"/>
    <w:rsid w:val="004463DC"/>
    <w:rsid w:val="00446928"/>
    <w:rsid w:val="00446D1E"/>
    <w:rsid w:val="00447C9B"/>
    <w:rsid w:val="00447F60"/>
    <w:rsid w:val="00450881"/>
    <w:rsid w:val="004513AC"/>
    <w:rsid w:val="00451C0F"/>
    <w:rsid w:val="004527D7"/>
    <w:rsid w:val="00452900"/>
    <w:rsid w:val="004529F7"/>
    <w:rsid w:val="0045326B"/>
    <w:rsid w:val="004544E2"/>
    <w:rsid w:val="00454CC4"/>
    <w:rsid w:val="00454F01"/>
    <w:rsid w:val="00455502"/>
    <w:rsid w:val="00456FA6"/>
    <w:rsid w:val="00456FE0"/>
    <w:rsid w:val="00457DD9"/>
    <w:rsid w:val="00460E13"/>
    <w:rsid w:val="0046139C"/>
    <w:rsid w:val="004619A7"/>
    <w:rsid w:val="00462CE3"/>
    <w:rsid w:val="0046322A"/>
    <w:rsid w:val="00463E79"/>
    <w:rsid w:val="00463FE9"/>
    <w:rsid w:val="004656AE"/>
    <w:rsid w:val="004663E3"/>
    <w:rsid w:val="0046644C"/>
    <w:rsid w:val="00466A85"/>
    <w:rsid w:val="00466E39"/>
    <w:rsid w:val="00467023"/>
    <w:rsid w:val="00467975"/>
    <w:rsid w:val="00467C60"/>
    <w:rsid w:val="00471491"/>
    <w:rsid w:val="0047254D"/>
    <w:rsid w:val="004732CC"/>
    <w:rsid w:val="00473D03"/>
    <w:rsid w:val="00475652"/>
    <w:rsid w:val="004756B9"/>
    <w:rsid w:val="00476FA1"/>
    <w:rsid w:val="0048046C"/>
    <w:rsid w:val="00480684"/>
    <w:rsid w:val="00480C61"/>
    <w:rsid w:val="004825C0"/>
    <w:rsid w:val="00483C5E"/>
    <w:rsid w:val="00484F85"/>
    <w:rsid w:val="0048579E"/>
    <w:rsid w:val="00485ED1"/>
    <w:rsid w:val="00486A17"/>
    <w:rsid w:val="00490CF5"/>
    <w:rsid w:val="00490D19"/>
    <w:rsid w:val="0049102E"/>
    <w:rsid w:val="00491990"/>
    <w:rsid w:val="004922C2"/>
    <w:rsid w:val="0049237E"/>
    <w:rsid w:val="0049238A"/>
    <w:rsid w:val="00493229"/>
    <w:rsid w:val="00493305"/>
    <w:rsid w:val="00493E8B"/>
    <w:rsid w:val="004946FC"/>
    <w:rsid w:val="0049479D"/>
    <w:rsid w:val="00494916"/>
    <w:rsid w:val="00495453"/>
    <w:rsid w:val="00495B2F"/>
    <w:rsid w:val="004964E8"/>
    <w:rsid w:val="00496889"/>
    <w:rsid w:val="00496E26"/>
    <w:rsid w:val="004979C9"/>
    <w:rsid w:val="004A0875"/>
    <w:rsid w:val="004A100F"/>
    <w:rsid w:val="004A2B3C"/>
    <w:rsid w:val="004A2C91"/>
    <w:rsid w:val="004A3529"/>
    <w:rsid w:val="004A40DE"/>
    <w:rsid w:val="004A4499"/>
    <w:rsid w:val="004A48AD"/>
    <w:rsid w:val="004A495E"/>
    <w:rsid w:val="004A4C97"/>
    <w:rsid w:val="004A4DA3"/>
    <w:rsid w:val="004A5412"/>
    <w:rsid w:val="004A5C60"/>
    <w:rsid w:val="004A5D95"/>
    <w:rsid w:val="004A6830"/>
    <w:rsid w:val="004B0268"/>
    <w:rsid w:val="004B04E6"/>
    <w:rsid w:val="004B071A"/>
    <w:rsid w:val="004B078A"/>
    <w:rsid w:val="004B1EC6"/>
    <w:rsid w:val="004B1F3A"/>
    <w:rsid w:val="004B3785"/>
    <w:rsid w:val="004B4142"/>
    <w:rsid w:val="004B450F"/>
    <w:rsid w:val="004B451D"/>
    <w:rsid w:val="004B50F8"/>
    <w:rsid w:val="004B52A6"/>
    <w:rsid w:val="004B572E"/>
    <w:rsid w:val="004B5F25"/>
    <w:rsid w:val="004B7677"/>
    <w:rsid w:val="004B7BD8"/>
    <w:rsid w:val="004B7C03"/>
    <w:rsid w:val="004B7E47"/>
    <w:rsid w:val="004C05C1"/>
    <w:rsid w:val="004C0CCA"/>
    <w:rsid w:val="004C10D2"/>
    <w:rsid w:val="004C1A56"/>
    <w:rsid w:val="004C1EB0"/>
    <w:rsid w:val="004C1F67"/>
    <w:rsid w:val="004C21A0"/>
    <w:rsid w:val="004C2D5A"/>
    <w:rsid w:val="004C3140"/>
    <w:rsid w:val="004C3BE6"/>
    <w:rsid w:val="004C3C3B"/>
    <w:rsid w:val="004C41A4"/>
    <w:rsid w:val="004C4D25"/>
    <w:rsid w:val="004C5345"/>
    <w:rsid w:val="004C5B87"/>
    <w:rsid w:val="004C5C71"/>
    <w:rsid w:val="004C5D23"/>
    <w:rsid w:val="004D06E0"/>
    <w:rsid w:val="004D0A99"/>
    <w:rsid w:val="004D205F"/>
    <w:rsid w:val="004D2142"/>
    <w:rsid w:val="004D250B"/>
    <w:rsid w:val="004D2C9F"/>
    <w:rsid w:val="004D44E0"/>
    <w:rsid w:val="004D4A94"/>
    <w:rsid w:val="004D4B97"/>
    <w:rsid w:val="004D6508"/>
    <w:rsid w:val="004D673B"/>
    <w:rsid w:val="004D69B4"/>
    <w:rsid w:val="004D6B14"/>
    <w:rsid w:val="004D7646"/>
    <w:rsid w:val="004D7861"/>
    <w:rsid w:val="004E08CF"/>
    <w:rsid w:val="004E0FE0"/>
    <w:rsid w:val="004E1481"/>
    <w:rsid w:val="004E15CF"/>
    <w:rsid w:val="004E23CD"/>
    <w:rsid w:val="004E2651"/>
    <w:rsid w:val="004E33E1"/>
    <w:rsid w:val="004E4DCF"/>
    <w:rsid w:val="004E5190"/>
    <w:rsid w:val="004E538C"/>
    <w:rsid w:val="004E58E7"/>
    <w:rsid w:val="004E591E"/>
    <w:rsid w:val="004E5BC8"/>
    <w:rsid w:val="004E5F80"/>
    <w:rsid w:val="004E6725"/>
    <w:rsid w:val="004E6EBD"/>
    <w:rsid w:val="004F0B8E"/>
    <w:rsid w:val="004F0BB8"/>
    <w:rsid w:val="004F24D3"/>
    <w:rsid w:val="004F2A04"/>
    <w:rsid w:val="004F31EF"/>
    <w:rsid w:val="004F362E"/>
    <w:rsid w:val="004F3C62"/>
    <w:rsid w:val="004F3C70"/>
    <w:rsid w:val="004F45E7"/>
    <w:rsid w:val="004F47DB"/>
    <w:rsid w:val="004F4F13"/>
    <w:rsid w:val="004F7295"/>
    <w:rsid w:val="004F740A"/>
    <w:rsid w:val="004F7546"/>
    <w:rsid w:val="0050009D"/>
    <w:rsid w:val="00501FC2"/>
    <w:rsid w:val="005024E8"/>
    <w:rsid w:val="00502CE3"/>
    <w:rsid w:val="00505506"/>
    <w:rsid w:val="00505700"/>
    <w:rsid w:val="005073F6"/>
    <w:rsid w:val="00507546"/>
    <w:rsid w:val="00507790"/>
    <w:rsid w:val="00507FC5"/>
    <w:rsid w:val="00510959"/>
    <w:rsid w:val="0051297A"/>
    <w:rsid w:val="00512D94"/>
    <w:rsid w:val="0051300F"/>
    <w:rsid w:val="00513957"/>
    <w:rsid w:val="00513DB8"/>
    <w:rsid w:val="00514AFB"/>
    <w:rsid w:val="005160BC"/>
    <w:rsid w:val="00516C61"/>
    <w:rsid w:val="005173DA"/>
    <w:rsid w:val="00517A21"/>
    <w:rsid w:val="00517C8E"/>
    <w:rsid w:val="00517F30"/>
    <w:rsid w:val="005208EE"/>
    <w:rsid w:val="005233BB"/>
    <w:rsid w:val="0052388F"/>
    <w:rsid w:val="00523D57"/>
    <w:rsid w:val="0052419E"/>
    <w:rsid w:val="00524458"/>
    <w:rsid w:val="00524EB9"/>
    <w:rsid w:val="00524EC1"/>
    <w:rsid w:val="005259C7"/>
    <w:rsid w:val="00525B56"/>
    <w:rsid w:val="00526273"/>
    <w:rsid w:val="00527124"/>
    <w:rsid w:val="00527930"/>
    <w:rsid w:val="00527977"/>
    <w:rsid w:val="00527B57"/>
    <w:rsid w:val="00530639"/>
    <w:rsid w:val="00531157"/>
    <w:rsid w:val="00531454"/>
    <w:rsid w:val="005319AB"/>
    <w:rsid w:val="00532B45"/>
    <w:rsid w:val="00533A0B"/>
    <w:rsid w:val="00535965"/>
    <w:rsid w:val="0053645A"/>
    <w:rsid w:val="005366C9"/>
    <w:rsid w:val="005371E2"/>
    <w:rsid w:val="005376F7"/>
    <w:rsid w:val="00537E4D"/>
    <w:rsid w:val="00540FB6"/>
    <w:rsid w:val="00543221"/>
    <w:rsid w:val="00543B48"/>
    <w:rsid w:val="00543EDC"/>
    <w:rsid w:val="00544E54"/>
    <w:rsid w:val="0054529C"/>
    <w:rsid w:val="0054591B"/>
    <w:rsid w:val="00545974"/>
    <w:rsid w:val="00545EF1"/>
    <w:rsid w:val="00546A94"/>
    <w:rsid w:val="00547DEA"/>
    <w:rsid w:val="00550245"/>
    <w:rsid w:val="00550753"/>
    <w:rsid w:val="00550FE8"/>
    <w:rsid w:val="00551A96"/>
    <w:rsid w:val="00551B32"/>
    <w:rsid w:val="00553572"/>
    <w:rsid w:val="00553DAB"/>
    <w:rsid w:val="00554825"/>
    <w:rsid w:val="0055496D"/>
    <w:rsid w:val="005549C0"/>
    <w:rsid w:val="00554DF1"/>
    <w:rsid w:val="0055543B"/>
    <w:rsid w:val="0055548C"/>
    <w:rsid w:val="00556284"/>
    <w:rsid w:val="005566B5"/>
    <w:rsid w:val="005578AE"/>
    <w:rsid w:val="00557EBF"/>
    <w:rsid w:val="005606FD"/>
    <w:rsid w:val="00560B7C"/>
    <w:rsid w:val="00561CA1"/>
    <w:rsid w:val="005625E4"/>
    <w:rsid w:val="00562A8D"/>
    <w:rsid w:val="00563188"/>
    <w:rsid w:val="00563639"/>
    <w:rsid w:val="00563EE1"/>
    <w:rsid w:val="0056452B"/>
    <w:rsid w:val="0056464F"/>
    <w:rsid w:val="00564E71"/>
    <w:rsid w:val="00564FFC"/>
    <w:rsid w:val="005656F9"/>
    <w:rsid w:val="005668BD"/>
    <w:rsid w:val="00566C26"/>
    <w:rsid w:val="00567084"/>
    <w:rsid w:val="00567EA3"/>
    <w:rsid w:val="0057022B"/>
    <w:rsid w:val="00570ED4"/>
    <w:rsid w:val="005716F6"/>
    <w:rsid w:val="00571EEB"/>
    <w:rsid w:val="005725D0"/>
    <w:rsid w:val="005729FC"/>
    <w:rsid w:val="00573417"/>
    <w:rsid w:val="00573809"/>
    <w:rsid w:val="0057381E"/>
    <w:rsid w:val="00574D28"/>
    <w:rsid w:val="005775FF"/>
    <w:rsid w:val="00577E38"/>
    <w:rsid w:val="00577FB6"/>
    <w:rsid w:val="00582255"/>
    <w:rsid w:val="0058261E"/>
    <w:rsid w:val="00582F91"/>
    <w:rsid w:val="0058346A"/>
    <w:rsid w:val="0058636D"/>
    <w:rsid w:val="00587B86"/>
    <w:rsid w:val="005908A3"/>
    <w:rsid w:val="005908DF"/>
    <w:rsid w:val="00590D43"/>
    <w:rsid w:val="00592117"/>
    <w:rsid w:val="0059220F"/>
    <w:rsid w:val="00592949"/>
    <w:rsid w:val="005939AA"/>
    <w:rsid w:val="00593ACC"/>
    <w:rsid w:val="0059407F"/>
    <w:rsid w:val="00596865"/>
    <w:rsid w:val="005A1E53"/>
    <w:rsid w:val="005A2A3E"/>
    <w:rsid w:val="005A2A9E"/>
    <w:rsid w:val="005A343B"/>
    <w:rsid w:val="005A5EA2"/>
    <w:rsid w:val="005A5F82"/>
    <w:rsid w:val="005A733B"/>
    <w:rsid w:val="005B00BE"/>
    <w:rsid w:val="005B0726"/>
    <w:rsid w:val="005B1096"/>
    <w:rsid w:val="005B1D5E"/>
    <w:rsid w:val="005B319F"/>
    <w:rsid w:val="005B40DB"/>
    <w:rsid w:val="005B4520"/>
    <w:rsid w:val="005B4936"/>
    <w:rsid w:val="005B51A0"/>
    <w:rsid w:val="005B5522"/>
    <w:rsid w:val="005B624C"/>
    <w:rsid w:val="005B685E"/>
    <w:rsid w:val="005B7DF3"/>
    <w:rsid w:val="005C0722"/>
    <w:rsid w:val="005C21FC"/>
    <w:rsid w:val="005C22A9"/>
    <w:rsid w:val="005C2724"/>
    <w:rsid w:val="005C28A1"/>
    <w:rsid w:val="005C2BF9"/>
    <w:rsid w:val="005C2FA7"/>
    <w:rsid w:val="005C310A"/>
    <w:rsid w:val="005C361B"/>
    <w:rsid w:val="005C36F3"/>
    <w:rsid w:val="005C43D9"/>
    <w:rsid w:val="005C5008"/>
    <w:rsid w:val="005C6066"/>
    <w:rsid w:val="005C6E31"/>
    <w:rsid w:val="005C7372"/>
    <w:rsid w:val="005D006D"/>
    <w:rsid w:val="005D0A8C"/>
    <w:rsid w:val="005D1BAD"/>
    <w:rsid w:val="005D3573"/>
    <w:rsid w:val="005D3B61"/>
    <w:rsid w:val="005D3EEE"/>
    <w:rsid w:val="005D3FCD"/>
    <w:rsid w:val="005D6375"/>
    <w:rsid w:val="005D662F"/>
    <w:rsid w:val="005D7EDB"/>
    <w:rsid w:val="005E1471"/>
    <w:rsid w:val="005E1AEF"/>
    <w:rsid w:val="005E2351"/>
    <w:rsid w:val="005E3053"/>
    <w:rsid w:val="005E31F1"/>
    <w:rsid w:val="005E32EB"/>
    <w:rsid w:val="005E4389"/>
    <w:rsid w:val="005E4D0A"/>
    <w:rsid w:val="005E4FB1"/>
    <w:rsid w:val="005E5F3F"/>
    <w:rsid w:val="005F073F"/>
    <w:rsid w:val="005F09E4"/>
    <w:rsid w:val="005F1E03"/>
    <w:rsid w:val="005F2690"/>
    <w:rsid w:val="005F2776"/>
    <w:rsid w:val="005F344D"/>
    <w:rsid w:val="005F3746"/>
    <w:rsid w:val="005F387A"/>
    <w:rsid w:val="005F3A21"/>
    <w:rsid w:val="005F417E"/>
    <w:rsid w:val="005F427A"/>
    <w:rsid w:val="005F453B"/>
    <w:rsid w:val="005F5241"/>
    <w:rsid w:val="005F5D05"/>
    <w:rsid w:val="005F73C1"/>
    <w:rsid w:val="005F79BB"/>
    <w:rsid w:val="00600C7C"/>
    <w:rsid w:val="006014A1"/>
    <w:rsid w:val="00602CF7"/>
    <w:rsid w:val="006040BB"/>
    <w:rsid w:val="006047D6"/>
    <w:rsid w:val="00604ED0"/>
    <w:rsid w:val="006054A5"/>
    <w:rsid w:val="00605BB6"/>
    <w:rsid w:val="00605E64"/>
    <w:rsid w:val="00605FFC"/>
    <w:rsid w:val="00606BDF"/>
    <w:rsid w:val="00607295"/>
    <w:rsid w:val="00610301"/>
    <w:rsid w:val="00610A8C"/>
    <w:rsid w:val="00611E72"/>
    <w:rsid w:val="006129EF"/>
    <w:rsid w:val="00613D1E"/>
    <w:rsid w:val="00614089"/>
    <w:rsid w:val="0061409D"/>
    <w:rsid w:val="006140F0"/>
    <w:rsid w:val="00614BAC"/>
    <w:rsid w:val="006150E5"/>
    <w:rsid w:val="00615D85"/>
    <w:rsid w:val="00617212"/>
    <w:rsid w:val="0061751F"/>
    <w:rsid w:val="00617660"/>
    <w:rsid w:val="006217B9"/>
    <w:rsid w:val="00621A27"/>
    <w:rsid w:val="00621D95"/>
    <w:rsid w:val="00621DD1"/>
    <w:rsid w:val="00622580"/>
    <w:rsid w:val="00622C9F"/>
    <w:rsid w:val="00623B77"/>
    <w:rsid w:val="00624554"/>
    <w:rsid w:val="00624832"/>
    <w:rsid w:val="006248AB"/>
    <w:rsid w:val="00624AE3"/>
    <w:rsid w:val="0062503A"/>
    <w:rsid w:val="006250B5"/>
    <w:rsid w:val="00625958"/>
    <w:rsid w:val="00625A71"/>
    <w:rsid w:val="00625BFC"/>
    <w:rsid w:val="006262DB"/>
    <w:rsid w:val="00626C72"/>
    <w:rsid w:val="00627A16"/>
    <w:rsid w:val="00627B18"/>
    <w:rsid w:val="00627E12"/>
    <w:rsid w:val="0063059E"/>
    <w:rsid w:val="00630DCA"/>
    <w:rsid w:val="00630F25"/>
    <w:rsid w:val="006314BD"/>
    <w:rsid w:val="006317DE"/>
    <w:rsid w:val="006329E2"/>
    <w:rsid w:val="00633295"/>
    <w:rsid w:val="00635C0B"/>
    <w:rsid w:val="006376C2"/>
    <w:rsid w:val="00640A15"/>
    <w:rsid w:val="00640B40"/>
    <w:rsid w:val="0064194C"/>
    <w:rsid w:val="006423F5"/>
    <w:rsid w:val="0064240A"/>
    <w:rsid w:val="0064248C"/>
    <w:rsid w:val="00642C0E"/>
    <w:rsid w:val="00642D61"/>
    <w:rsid w:val="00644830"/>
    <w:rsid w:val="00645125"/>
    <w:rsid w:val="00645C91"/>
    <w:rsid w:val="00645CF3"/>
    <w:rsid w:val="006473B3"/>
    <w:rsid w:val="006475F5"/>
    <w:rsid w:val="006477BD"/>
    <w:rsid w:val="00647838"/>
    <w:rsid w:val="00647AB5"/>
    <w:rsid w:val="00650960"/>
    <w:rsid w:val="00652C68"/>
    <w:rsid w:val="00653061"/>
    <w:rsid w:val="006534BE"/>
    <w:rsid w:val="00653BC5"/>
    <w:rsid w:val="006553A5"/>
    <w:rsid w:val="00656047"/>
    <w:rsid w:val="00656353"/>
    <w:rsid w:val="006564C8"/>
    <w:rsid w:val="00656655"/>
    <w:rsid w:val="0065676E"/>
    <w:rsid w:val="00657439"/>
    <w:rsid w:val="006608FE"/>
    <w:rsid w:val="00660C67"/>
    <w:rsid w:val="00661123"/>
    <w:rsid w:val="006618C8"/>
    <w:rsid w:val="00661A23"/>
    <w:rsid w:val="00662450"/>
    <w:rsid w:val="00663AEE"/>
    <w:rsid w:val="00663D1C"/>
    <w:rsid w:val="00664454"/>
    <w:rsid w:val="0066513F"/>
    <w:rsid w:val="00665337"/>
    <w:rsid w:val="0066636F"/>
    <w:rsid w:val="00666372"/>
    <w:rsid w:val="00666845"/>
    <w:rsid w:val="00666AA7"/>
    <w:rsid w:val="00666EEA"/>
    <w:rsid w:val="00667544"/>
    <w:rsid w:val="006676CE"/>
    <w:rsid w:val="00667BA9"/>
    <w:rsid w:val="00667BE8"/>
    <w:rsid w:val="00671966"/>
    <w:rsid w:val="00671C1C"/>
    <w:rsid w:val="00673E8C"/>
    <w:rsid w:val="00674565"/>
    <w:rsid w:val="0067502D"/>
    <w:rsid w:val="00680087"/>
    <w:rsid w:val="00680EF4"/>
    <w:rsid w:val="0068170F"/>
    <w:rsid w:val="00681A49"/>
    <w:rsid w:val="00682023"/>
    <w:rsid w:val="00682425"/>
    <w:rsid w:val="00682584"/>
    <w:rsid w:val="00682912"/>
    <w:rsid w:val="006831B3"/>
    <w:rsid w:val="00683216"/>
    <w:rsid w:val="006835E1"/>
    <w:rsid w:val="0068517A"/>
    <w:rsid w:val="00685ABE"/>
    <w:rsid w:val="00685D56"/>
    <w:rsid w:val="006868E1"/>
    <w:rsid w:val="00686AF9"/>
    <w:rsid w:val="00686EB0"/>
    <w:rsid w:val="00686EC2"/>
    <w:rsid w:val="006913C9"/>
    <w:rsid w:val="00691662"/>
    <w:rsid w:val="00691891"/>
    <w:rsid w:val="00691B2D"/>
    <w:rsid w:val="00692838"/>
    <w:rsid w:val="00695945"/>
    <w:rsid w:val="006959D0"/>
    <w:rsid w:val="00695ADD"/>
    <w:rsid w:val="0069625C"/>
    <w:rsid w:val="00697534"/>
    <w:rsid w:val="006A1F7F"/>
    <w:rsid w:val="006A20E7"/>
    <w:rsid w:val="006A25F7"/>
    <w:rsid w:val="006A2785"/>
    <w:rsid w:val="006A2F99"/>
    <w:rsid w:val="006A350E"/>
    <w:rsid w:val="006A3E2F"/>
    <w:rsid w:val="006A4136"/>
    <w:rsid w:val="006A48A1"/>
    <w:rsid w:val="006A58CB"/>
    <w:rsid w:val="006A5CDE"/>
    <w:rsid w:val="006A5D23"/>
    <w:rsid w:val="006A605D"/>
    <w:rsid w:val="006A6278"/>
    <w:rsid w:val="006A6B42"/>
    <w:rsid w:val="006A6BF6"/>
    <w:rsid w:val="006A6DE1"/>
    <w:rsid w:val="006A7C48"/>
    <w:rsid w:val="006B0CF4"/>
    <w:rsid w:val="006B1164"/>
    <w:rsid w:val="006B23A2"/>
    <w:rsid w:val="006B2AAB"/>
    <w:rsid w:val="006B2F3E"/>
    <w:rsid w:val="006B34FD"/>
    <w:rsid w:val="006B3C8A"/>
    <w:rsid w:val="006B3F61"/>
    <w:rsid w:val="006B413F"/>
    <w:rsid w:val="006B466C"/>
    <w:rsid w:val="006B4726"/>
    <w:rsid w:val="006B4B66"/>
    <w:rsid w:val="006B5A31"/>
    <w:rsid w:val="006B614A"/>
    <w:rsid w:val="006B6B63"/>
    <w:rsid w:val="006B73AB"/>
    <w:rsid w:val="006B76F2"/>
    <w:rsid w:val="006B76F9"/>
    <w:rsid w:val="006C0EF5"/>
    <w:rsid w:val="006C11C5"/>
    <w:rsid w:val="006C14C2"/>
    <w:rsid w:val="006C17CA"/>
    <w:rsid w:val="006C1C83"/>
    <w:rsid w:val="006C1E58"/>
    <w:rsid w:val="006C1E59"/>
    <w:rsid w:val="006C23EE"/>
    <w:rsid w:val="006C250B"/>
    <w:rsid w:val="006C3AFB"/>
    <w:rsid w:val="006C3DB1"/>
    <w:rsid w:val="006C498E"/>
    <w:rsid w:val="006C4995"/>
    <w:rsid w:val="006C49D3"/>
    <w:rsid w:val="006C4B08"/>
    <w:rsid w:val="006C4C2D"/>
    <w:rsid w:val="006C4F16"/>
    <w:rsid w:val="006C5B38"/>
    <w:rsid w:val="006C5FE0"/>
    <w:rsid w:val="006C7263"/>
    <w:rsid w:val="006C7436"/>
    <w:rsid w:val="006C7F22"/>
    <w:rsid w:val="006D2AF2"/>
    <w:rsid w:val="006D2DCB"/>
    <w:rsid w:val="006D311E"/>
    <w:rsid w:val="006D3D5B"/>
    <w:rsid w:val="006D42CF"/>
    <w:rsid w:val="006D4F22"/>
    <w:rsid w:val="006D4F41"/>
    <w:rsid w:val="006D592F"/>
    <w:rsid w:val="006D5B3B"/>
    <w:rsid w:val="006D6929"/>
    <w:rsid w:val="006D6FFE"/>
    <w:rsid w:val="006D7A2A"/>
    <w:rsid w:val="006D7E6A"/>
    <w:rsid w:val="006E0292"/>
    <w:rsid w:val="006E0E46"/>
    <w:rsid w:val="006E13D9"/>
    <w:rsid w:val="006E14F6"/>
    <w:rsid w:val="006E2086"/>
    <w:rsid w:val="006E24EC"/>
    <w:rsid w:val="006E36F6"/>
    <w:rsid w:val="006E44DF"/>
    <w:rsid w:val="006E4503"/>
    <w:rsid w:val="006E53BB"/>
    <w:rsid w:val="006E5C35"/>
    <w:rsid w:val="006E65AF"/>
    <w:rsid w:val="006E6A59"/>
    <w:rsid w:val="006E6B97"/>
    <w:rsid w:val="006E7215"/>
    <w:rsid w:val="006E7E93"/>
    <w:rsid w:val="006F04FF"/>
    <w:rsid w:val="006F0EE9"/>
    <w:rsid w:val="006F101E"/>
    <w:rsid w:val="006F3BB8"/>
    <w:rsid w:val="006F5FE6"/>
    <w:rsid w:val="006F71BC"/>
    <w:rsid w:val="006F72A1"/>
    <w:rsid w:val="006F77BF"/>
    <w:rsid w:val="007008D6"/>
    <w:rsid w:val="00702030"/>
    <w:rsid w:val="0070407B"/>
    <w:rsid w:val="0070440D"/>
    <w:rsid w:val="00704B4F"/>
    <w:rsid w:val="00704FC7"/>
    <w:rsid w:val="00705039"/>
    <w:rsid w:val="00706433"/>
    <w:rsid w:val="00706D1A"/>
    <w:rsid w:val="00707582"/>
    <w:rsid w:val="00707D47"/>
    <w:rsid w:val="00707DE0"/>
    <w:rsid w:val="007103A9"/>
    <w:rsid w:val="007118B2"/>
    <w:rsid w:val="007122A7"/>
    <w:rsid w:val="00712FAA"/>
    <w:rsid w:val="00713251"/>
    <w:rsid w:val="00713BD3"/>
    <w:rsid w:val="00714119"/>
    <w:rsid w:val="00714A35"/>
    <w:rsid w:val="00714A61"/>
    <w:rsid w:val="00714AD7"/>
    <w:rsid w:val="00714E6B"/>
    <w:rsid w:val="0071557A"/>
    <w:rsid w:val="00716ECC"/>
    <w:rsid w:val="00721953"/>
    <w:rsid w:val="007239DF"/>
    <w:rsid w:val="00723A0D"/>
    <w:rsid w:val="007242F1"/>
    <w:rsid w:val="00724450"/>
    <w:rsid w:val="00724497"/>
    <w:rsid w:val="00724A8F"/>
    <w:rsid w:val="00724CED"/>
    <w:rsid w:val="007263E3"/>
    <w:rsid w:val="00726A0D"/>
    <w:rsid w:val="0072767F"/>
    <w:rsid w:val="00727E97"/>
    <w:rsid w:val="00730843"/>
    <w:rsid w:val="00730ACC"/>
    <w:rsid w:val="00731177"/>
    <w:rsid w:val="0073130A"/>
    <w:rsid w:val="007318D5"/>
    <w:rsid w:val="00732225"/>
    <w:rsid w:val="00733218"/>
    <w:rsid w:val="0073344C"/>
    <w:rsid w:val="0073380E"/>
    <w:rsid w:val="00734B5E"/>
    <w:rsid w:val="007351A5"/>
    <w:rsid w:val="00736BC0"/>
    <w:rsid w:val="00737CD0"/>
    <w:rsid w:val="0074078C"/>
    <w:rsid w:val="00740E36"/>
    <w:rsid w:val="00741AA8"/>
    <w:rsid w:val="00741F98"/>
    <w:rsid w:val="007428CD"/>
    <w:rsid w:val="00742D0A"/>
    <w:rsid w:val="00742E49"/>
    <w:rsid w:val="007436F4"/>
    <w:rsid w:val="0074459A"/>
    <w:rsid w:val="007466F8"/>
    <w:rsid w:val="00746789"/>
    <w:rsid w:val="0074682B"/>
    <w:rsid w:val="00746A08"/>
    <w:rsid w:val="00746F27"/>
    <w:rsid w:val="007479D4"/>
    <w:rsid w:val="00747ABB"/>
    <w:rsid w:val="007504D0"/>
    <w:rsid w:val="00751A0C"/>
    <w:rsid w:val="00752265"/>
    <w:rsid w:val="00752B19"/>
    <w:rsid w:val="00753B8A"/>
    <w:rsid w:val="0075410A"/>
    <w:rsid w:val="007550A5"/>
    <w:rsid w:val="007558F0"/>
    <w:rsid w:val="007559C0"/>
    <w:rsid w:val="007559EC"/>
    <w:rsid w:val="00756B32"/>
    <w:rsid w:val="007604F1"/>
    <w:rsid w:val="00760C6F"/>
    <w:rsid w:val="00762438"/>
    <w:rsid w:val="00762621"/>
    <w:rsid w:val="00762F6D"/>
    <w:rsid w:val="0076302A"/>
    <w:rsid w:val="00763305"/>
    <w:rsid w:val="007645C7"/>
    <w:rsid w:val="007655D8"/>
    <w:rsid w:val="00766C0B"/>
    <w:rsid w:val="007672C2"/>
    <w:rsid w:val="00767EA4"/>
    <w:rsid w:val="00770C28"/>
    <w:rsid w:val="0077161E"/>
    <w:rsid w:val="00771D74"/>
    <w:rsid w:val="0077217D"/>
    <w:rsid w:val="00772C0D"/>
    <w:rsid w:val="00773758"/>
    <w:rsid w:val="00776B7B"/>
    <w:rsid w:val="0077730D"/>
    <w:rsid w:val="007809EE"/>
    <w:rsid w:val="00780C58"/>
    <w:rsid w:val="00781612"/>
    <w:rsid w:val="00782253"/>
    <w:rsid w:val="00783835"/>
    <w:rsid w:val="0078497C"/>
    <w:rsid w:val="007849F2"/>
    <w:rsid w:val="0078557F"/>
    <w:rsid w:val="007855A7"/>
    <w:rsid w:val="0078571F"/>
    <w:rsid w:val="007865DF"/>
    <w:rsid w:val="00790E02"/>
    <w:rsid w:val="00790EF6"/>
    <w:rsid w:val="00791348"/>
    <w:rsid w:val="00791A53"/>
    <w:rsid w:val="00791AF1"/>
    <w:rsid w:val="00791CC2"/>
    <w:rsid w:val="00792D1E"/>
    <w:rsid w:val="007934DE"/>
    <w:rsid w:val="007941D4"/>
    <w:rsid w:val="00794492"/>
    <w:rsid w:val="0079459E"/>
    <w:rsid w:val="007947A7"/>
    <w:rsid w:val="00795421"/>
    <w:rsid w:val="007955D5"/>
    <w:rsid w:val="00797087"/>
    <w:rsid w:val="007974E4"/>
    <w:rsid w:val="007A00D2"/>
    <w:rsid w:val="007A04BA"/>
    <w:rsid w:val="007A0A62"/>
    <w:rsid w:val="007A0DC8"/>
    <w:rsid w:val="007A19DE"/>
    <w:rsid w:val="007A1AA7"/>
    <w:rsid w:val="007A1E40"/>
    <w:rsid w:val="007A2AC4"/>
    <w:rsid w:val="007A3D47"/>
    <w:rsid w:val="007A41D5"/>
    <w:rsid w:val="007A44F9"/>
    <w:rsid w:val="007A468C"/>
    <w:rsid w:val="007A4BBA"/>
    <w:rsid w:val="007A5DE2"/>
    <w:rsid w:val="007A5E02"/>
    <w:rsid w:val="007A6594"/>
    <w:rsid w:val="007A67F2"/>
    <w:rsid w:val="007A6829"/>
    <w:rsid w:val="007A752D"/>
    <w:rsid w:val="007A7E79"/>
    <w:rsid w:val="007B09C2"/>
    <w:rsid w:val="007B1032"/>
    <w:rsid w:val="007B1216"/>
    <w:rsid w:val="007B1305"/>
    <w:rsid w:val="007B1AE1"/>
    <w:rsid w:val="007B1C70"/>
    <w:rsid w:val="007B1DE1"/>
    <w:rsid w:val="007B2685"/>
    <w:rsid w:val="007B2AC9"/>
    <w:rsid w:val="007B2ACD"/>
    <w:rsid w:val="007B2E9A"/>
    <w:rsid w:val="007B372E"/>
    <w:rsid w:val="007B4F72"/>
    <w:rsid w:val="007B52A0"/>
    <w:rsid w:val="007B5FE2"/>
    <w:rsid w:val="007B68DD"/>
    <w:rsid w:val="007B6A24"/>
    <w:rsid w:val="007B6E5E"/>
    <w:rsid w:val="007B79CC"/>
    <w:rsid w:val="007C1DB1"/>
    <w:rsid w:val="007C2099"/>
    <w:rsid w:val="007C5492"/>
    <w:rsid w:val="007C65D9"/>
    <w:rsid w:val="007C67AA"/>
    <w:rsid w:val="007C6CC4"/>
    <w:rsid w:val="007C7951"/>
    <w:rsid w:val="007C7D0C"/>
    <w:rsid w:val="007D03DC"/>
    <w:rsid w:val="007D046A"/>
    <w:rsid w:val="007D0BED"/>
    <w:rsid w:val="007D2084"/>
    <w:rsid w:val="007D3069"/>
    <w:rsid w:val="007D35A1"/>
    <w:rsid w:val="007D4561"/>
    <w:rsid w:val="007D4EFC"/>
    <w:rsid w:val="007D4F48"/>
    <w:rsid w:val="007D50C3"/>
    <w:rsid w:val="007D5445"/>
    <w:rsid w:val="007D5929"/>
    <w:rsid w:val="007D5A69"/>
    <w:rsid w:val="007D5F38"/>
    <w:rsid w:val="007D6CCB"/>
    <w:rsid w:val="007D6F54"/>
    <w:rsid w:val="007D7214"/>
    <w:rsid w:val="007E04CE"/>
    <w:rsid w:val="007E05B5"/>
    <w:rsid w:val="007E11A7"/>
    <w:rsid w:val="007E19FF"/>
    <w:rsid w:val="007E1C3B"/>
    <w:rsid w:val="007E277C"/>
    <w:rsid w:val="007E3031"/>
    <w:rsid w:val="007E34F2"/>
    <w:rsid w:val="007E38C8"/>
    <w:rsid w:val="007E3939"/>
    <w:rsid w:val="007E3BF5"/>
    <w:rsid w:val="007E403D"/>
    <w:rsid w:val="007E5055"/>
    <w:rsid w:val="007E537A"/>
    <w:rsid w:val="007E60DA"/>
    <w:rsid w:val="007E65FF"/>
    <w:rsid w:val="007E728D"/>
    <w:rsid w:val="007F078A"/>
    <w:rsid w:val="007F08E4"/>
    <w:rsid w:val="007F0B40"/>
    <w:rsid w:val="007F1E15"/>
    <w:rsid w:val="007F28F6"/>
    <w:rsid w:val="007F3D28"/>
    <w:rsid w:val="007F4002"/>
    <w:rsid w:val="007F535A"/>
    <w:rsid w:val="007F67C8"/>
    <w:rsid w:val="008018C8"/>
    <w:rsid w:val="0080198C"/>
    <w:rsid w:val="00801CEA"/>
    <w:rsid w:val="00802B81"/>
    <w:rsid w:val="008034A5"/>
    <w:rsid w:val="00804082"/>
    <w:rsid w:val="0080490E"/>
    <w:rsid w:val="00804EE9"/>
    <w:rsid w:val="0080587F"/>
    <w:rsid w:val="00806679"/>
    <w:rsid w:val="008068E6"/>
    <w:rsid w:val="00806D2F"/>
    <w:rsid w:val="00807863"/>
    <w:rsid w:val="0081104C"/>
    <w:rsid w:val="008122F9"/>
    <w:rsid w:val="008123B2"/>
    <w:rsid w:val="00813242"/>
    <w:rsid w:val="008135A9"/>
    <w:rsid w:val="00813994"/>
    <w:rsid w:val="0081425C"/>
    <w:rsid w:val="008144DC"/>
    <w:rsid w:val="00814AFA"/>
    <w:rsid w:val="00814CA5"/>
    <w:rsid w:val="00815BD0"/>
    <w:rsid w:val="00815EF2"/>
    <w:rsid w:val="00816620"/>
    <w:rsid w:val="00816ABE"/>
    <w:rsid w:val="00817374"/>
    <w:rsid w:val="008176CC"/>
    <w:rsid w:val="008205AD"/>
    <w:rsid w:val="00822685"/>
    <w:rsid w:val="00822E53"/>
    <w:rsid w:val="00823358"/>
    <w:rsid w:val="0082444B"/>
    <w:rsid w:val="00824A4B"/>
    <w:rsid w:val="008251CF"/>
    <w:rsid w:val="00825C4E"/>
    <w:rsid w:val="008260C8"/>
    <w:rsid w:val="008267A1"/>
    <w:rsid w:val="00830687"/>
    <w:rsid w:val="00830AC8"/>
    <w:rsid w:val="00832DFC"/>
    <w:rsid w:val="008357CA"/>
    <w:rsid w:val="00836D76"/>
    <w:rsid w:val="008376FC"/>
    <w:rsid w:val="008412C2"/>
    <w:rsid w:val="0084161D"/>
    <w:rsid w:val="00842305"/>
    <w:rsid w:val="00842434"/>
    <w:rsid w:val="008428C0"/>
    <w:rsid w:val="00842B18"/>
    <w:rsid w:val="00842EB0"/>
    <w:rsid w:val="00843278"/>
    <w:rsid w:val="00843890"/>
    <w:rsid w:val="00843E37"/>
    <w:rsid w:val="00845030"/>
    <w:rsid w:val="0084540E"/>
    <w:rsid w:val="008457C2"/>
    <w:rsid w:val="00846275"/>
    <w:rsid w:val="00846AD3"/>
    <w:rsid w:val="00846AE9"/>
    <w:rsid w:val="008475EC"/>
    <w:rsid w:val="0084761B"/>
    <w:rsid w:val="00847A02"/>
    <w:rsid w:val="00847F23"/>
    <w:rsid w:val="00850551"/>
    <w:rsid w:val="00851A62"/>
    <w:rsid w:val="00851F0C"/>
    <w:rsid w:val="008521E4"/>
    <w:rsid w:val="00852502"/>
    <w:rsid w:val="00852742"/>
    <w:rsid w:val="008530A4"/>
    <w:rsid w:val="0085347F"/>
    <w:rsid w:val="00853649"/>
    <w:rsid w:val="008536C6"/>
    <w:rsid w:val="00853E09"/>
    <w:rsid w:val="00854533"/>
    <w:rsid w:val="00854CC9"/>
    <w:rsid w:val="00855591"/>
    <w:rsid w:val="00855E6A"/>
    <w:rsid w:val="0085693B"/>
    <w:rsid w:val="0085729E"/>
    <w:rsid w:val="0086062E"/>
    <w:rsid w:val="00860F53"/>
    <w:rsid w:val="0086184E"/>
    <w:rsid w:val="008619C6"/>
    <w:rsid w:val="00862241"/>
    <w:rsid w:val="00862E11"/>
    <w:rsid w:val="00862E6E"/>
    <w:rsid w:val="00862F1B"/>
    <w:rsid w:val="00863581"/>
    <w:rsid w:val="008636A2"/>
    <w:rsid w:val="00863799"/>
    <w:rsid w:val="00863F24"/>
    <w:rsid w:val="008642BC"/>
    <w:rsid w:val="008642E8"/>
    <w:rsid w:val="008646F7"/>
    <w:rsid w:val="008650C4"/>
    <w:rsid w:val="0086568A"/>
    <w:rsid w:val="00865A23"/>
    <w:rsid w:val="00866760"/>
    <w:rsid w:val="008668F3"/>
    <w:rsid w:val="00866FB8"/>
    <w:rsid w:val="0086765A"/>
    <w:rsid w:val="00867DCB"/>
    <w:rsid w:val="0087043D"/>
    <w:rsid w:val="00870C10"/>
    <w:rsid w:val="00871B4D"/>
    <w:rsid w:val="00873DC3"/>
    <w:rsid w:val="00874187"/>
    <w:rsid w:val="00874427"/>
    <w:rsid w:val="00874EB5"/>
    <w:rsid w:val="008753C9"/>
    <w:rsid w:val="00875430"/>
    <w:rsid w:val="008754FA"/>
    <w:rsid w:val="008770CC"/>
    <w:rsid w:val="0087712B"/>
    <w:rsid w:val="0087748F"/>
    <w:rsid w:val="008779AD"/>
    <w:rsid w:val="008805F4"/>
    <w:rsid w:val="00880FB7"/>
    <w:rsid w:val="00882584"/>
    <w:rsid w:val="008825A6"/>
    <w:rsid w:val="00882C25"/>
    <w:rsid w:val="00883985"/>
    <w:rsid w:val="00883989"/>
    <w:rsid w:val="00883A91"/>
    <w:rsid w:val="0088428D"/>
    <w:rsid w:val="00884A2E"/>
    <w:rsid w:val="00884C23"/>
    <w:rsid w:val="00884C81"/>
    <w:rsid w:val="00885337"/>
    <w:rsid w:val="00885901"/>
    <w:rsid w:val="00885C22"/>
    <w:rsid w:val="008874DC"/>
    <w:rsid w:val="00887DD0"/>
    <w:rsid w:val="008902E7"/>
    <w:rsid w:val="008920DE"/>
    <w:rsid w:val="00893397"/>
    <w:rsid w:val="008933CF"/>
    <w:rsid w:val="00894B67"/>
    <w:rsid w:val="008951AB"/>
    <w:rsid w:val="008961F4"/>
    <w:rsid w:val="00896CE3"/>
    <w:rsid w:val="00897455"/>
    <w:rsid w:val="00897606"/>
    <w:rsid w:val="008977B2"/>
    <w:rsid w:val="00897C1E"/>
    <w:rsid w:val="008A00A9"/>
    <w:rsid w:val="008A14C4"/>
    <w:rsid w:val="008A1579"/>
    <w:rsid w:val="008A1C2F"/>
    <w:rsid w:val="008A2A48"/>
    <w:rsid w:val="008A42FD"/>
    <w:rsid w:val="008A4744"/>
    <w:rsid w:val="008A51E7"/>
    <w:rsid w:val="008A547C"/>
    <w:rsid w:val="008A55BC"/>
    <w:rsid w:val="008A5D87"/>
    <w:rsid w:val="008A5FA3"/>
    <w:rsid w:val="008A69D0"/>
    <w:rsid w:val="008A6FFB"/>
    <w:rsid w:val="008A7431"/>
    <w:rsid w:val="008A7633"/>
    <w:rsid w:val="008B1440"/>
    <w:rsid w:val="008B2958"/>
    <w:rsid w:val="008B2F52"/>
    <w:rsid w:val="008B3210"/>
    <w:rsid w:val="008B3883"/>
    <w:rsid w:val="008B3961"/>
    <w:rsid w:val="008B3CB2"/>
    <w:rsid w:val="008B4325"/>
    <w:rsid w:val="008B4434"/>
    <w:rsid w:val="008B4964"/>
    <w:rsid w:val="008B524E"/>
    <w:rsid w:val="008B52E2"/>
    <w:rsid w:val="008B6331"/>
    <w:rsid w:val="008B735E"/>
    <w:rsid w:val="008C05B5"/>
    <w:rsid w:val="008C1A0E"/>
    <w:rsid w:val="008C2A43"/>
    <w:rsid w:val="008C3093"/>
    <w:rsid w:val="008C30FD"/>
    <w:rsid w:val="008C3EE8"/>
    <w:rsid w:val="008C58B1"/>
    <w:rsid w:val="008C6689"/>
    <w:rsid w:val="008C66C2"/>
    <w:rsid w:val="008C6827"/>
    <w:rsid w:val="008C6D34"/>
    <w:rsid w:val="008C700E"/>
    <w:rsid w:val="008D00E9"/>
    <w:rsid w:val="008D0397"/>
    <w:rsid w:val="008D07BD"/>
    <w:rsid w:val="008D11DD"/>
    <w:rsid w:val="008D3969"/>
    <w:rsid w:val="008D3FDF"/>
    <w:rsid w:val="008D41FA"/>
    <w:rsid w:val="008D5D91"/>
    <w:rsid w:val="008D5EE4"/>
    <w:rsid w:val="008D7EBE"/>
    <w:rsid w:val="008E12D6"/>
    <w:rsid w:val="008E1597"/>
    <w:rsid w:val="008E2D9D"/>
    <w:rsid w:val="008E481D"/>
    <w:rsid w:val="008E4C1A"/>
    <w:rsid w:val="008E4D32"/>
    <w:rsid w:val="008E5283"/>
    <w:rsid w:val="008E5BCA"/>
    <w:rsid w:val="008E69C1"/>
    <w:rsid w:val="008E7DD0"/>
    <w:rsid w:val="008E7E77"/>
    <w:rsid w:val="008F0499"/>
    <w:rsid w:val="008F15AA"/>
    <w:rsid w:val="008F16AA"/>
    <w:rsid w:val="008F40AE"/>
    <w:rsid w:val="008F43CD"/>
    <w:rsid w:val="008F44D8"/>
    <w:rsid w:val="008F48FD"/>
    <w:rsid w:val="008F4F64"/>
    <w:rsid w:val="008F506A"/>
    <w:rsid w:val="008F5615"/>
    <w:rsid w:val="008F5F72"/>
    <w:rsid w:val="008F63FB"/>
    <w:rsid w:val="008F64B6"/>
    <w:rsid w:val="008F64EA"/>
    <w:rsid w:val="008F6A57"/>
    <w:rsid w:val="008F765C"/>
    <w:rsid w:val="008F7D1E"/>
    <w:rsid w:val="00901B73"/>
    <w:rsid w:val="00902204"/>
    <w:rsid w:val="009027C0"/>
    <w:rsid w:val="00903638"/>
    <w:rsid w:val="009036B2"/>
    <w:rsid w:val="0090373D"/>
    <w:rsid w:val="00904A64"/>
    <w:rsid w:val="00905122"/>
    <w:rsid w:val="00905ECF"/>
    <w:rsid w:val="00906FB2"/>
    <w:rsid w:val="00907007"/>
    <w:rsid w:val="0090700B"/>
    <w:rsid w:val="00907380"/>
    <w:rsid w:val="00907E0A"/>
    <w:rsid w:val="0091059B"/>
    <w:rsid w:val="009105EC"/>
    <w:rsid w:val="00910657"/>
    <w:rsid w:val="00910D91"/>
    <w:rsid w:val="0091223E"/>
    <w:rsid w:val="009128B3"/>
    <w:rsid w:val="00912BEE"/>
    <w:rsid w:val="0091341A"/>
    <w:rsid w:val="0091358B"/>
    <w:rsid w:val="00913633"/>
    <w:rsid w:val="00913AD0"/>
    <w:rsid w:val="00914125"/>
    <w:rsid w:val="00915940"/>
    <w:rsid w:val="009162B6"/>
    <w:rsid w:val="009166CF"/>
    <w:rsid w:val="00916BDC"/>
    <w:rsid w:val="00916CC0"/>
    <w:rsid w:val="00916E38"/>
    <w:rsid w:val="0092044F"/>
    <w:rsid w:val="009209D6"/>
    <w:rsid w:val="00920F81"/>
    <w:rsid w:val="00921F46"/>
    <w:rsid w:val="00922DAA"/>
    <w:rsid w:val="00923015"/>
    <w:rsid w:val="0092308E"/>
    <w:rsid w:val="009230B9"/>
    <w:rsid w:val="00924169"/>
    <w:rsid w:val="00924186"/>
    <w:rsid w:val="009262AC"/>
    <w:rsid w:val="0092653A"/>
    <w:rsid w:val="00926DF6"/>
    <w:rsid w:val="00927C92"/>
    <w:rsid w:val="00931619"/>
    <w:rsid w:val="00931C48"/>
    <w:rsid w:val="00932088"/>
    <w:rsid w:val="009320A3"/>
    <w:rsid w:val="00932287"/>
    <w:rsid w:val="00932B66"/>
    <w:rsid w:val="009332FB"/>
    <w:rsid w:val="00933377"/>
    <w:rsid w:val="00933689"/>
    <w:rsid w:val="009362DD"/>
    <w:rsid w:val="00940E5F"/>
    <w:rsid w:val="00941C2C"/>
    <w:rsid w:val="00942D13"/>
    <w:rsid w:val="009435B9"/>
    <w:rsid w:val="00943897"/>
    <w:rsid w:val="00944CD8"/>
    <w:rsid w:val="00945322"/>
    <w:rsid w:val="009453B0"/>
    <w:rsid w:val="00945968"/>
    <w:rsid w:val="00946715"/>
    <w:rsid w:val="00946ABA"/>
    <w:rsid w:val="00946CB8"/>
    <w:rsid w:val="00947259"/>
    <w:rsid w:val="009474D7"/>
    <w:rsid w:val="00950849"/>
    <w:rsid w:val="00950D4E"/>
    <w:rsid w:val="00950F11"/>
    <w:rsid w:val="00952493"/>
    <w:rsid w:val="009535D1"/>
    <w:rsid w:val="0095428B"/>
    <w:rsid w:val="009543CF"/>
    <w:rsid w:val="009545C4"/>
    <w:rsid w:val="00954ED8"/>
    <w:rsid w:val="009568EE"/>
    <w:rsid w:val="009574A4"/>
    <w:rsid w:val="0096062B"/>
    <w:rsid w:val="00960B23"/>
    <w:rsid w:val="009616B0"/>
    <w:rsid w:val="00962B67"/>
    <w:rsid w:val="0096328A"/>
    <w:rsid w:val="00963A42"/>
    <w:rsid w:val="00963C01"/>
    <w:rsid w:val="00963D0C"/>
    <w:rsid w:val="00964E36"/>
    <w:rsid w:val="00965336"/>
    <w:rsid w:val="00965350"/>
    <w:rsid w:val="00965C6F"/>
    <w:rsid w:val="00965F61"/>
    <w:rsid w:val="0096605A"/>
    <w:rsid w:val="00966613"/>
    <w:rsid w:val="0097054D"/>
    <w:rsid w:val="009707F1"/>
    <w:rsid w:val="00971433"/>
    <w:rsid w:val="00971710"/>
    <w:rsid w:val="009719B1"/>
    <w:rsid w:val="009719E7"/>
    <w:rsid w:val="00971C72"/>
    <w:rsid w:val="00971D05"/>
    <w:rsid w:val="009728D2"/>
    <w:rsid w:val="009749CA"/>
    <w:rsid w:val="00976098"/>
    <w:rsid w:val="00976136"/>
    <w:rsid w:val="009768F4"/>
    <w:rsid w:val="00977176"/>
    <w:rsid w:val="009772A5"/>
    <w:rsid w:val="00977641"/>
    <w:rsid w:val="0097770D"/>
    <w:rsid w:val="009779E4"/>
    <w:rsid w:val="00980200"/>
    <w:rsid w:val="00980552"/>
    <w:rsid w:val="00980F5E"/>
    <w:rsid w:val="00982520"/>
    <w:rsid w:val="00982E1D"/>
    <w:rsid w:val="009839FB"/>
    <w:rsid w:val="00984316"/>
    <w:rsid w:val="009851C8"/>
    <w:rsid w:val="009855E0"/>
    <w:rsid w:val="0098572D"/>
    <w:rsid w:val="00986074"/>
    <w:rsid w:val="00987C4E"/>
    <w:rsid w:val="0099045A"/>
    <w:rsid w:val="00991175"/>
    <w:rsid w:val="009914BB"/>
    <w:rsid w:val="009915A5"/>
    <w:rsid w:val="009919C4"/>
    <w:rsid w:val="00991AF3"/>
    <w:rsid w:val="00991B79"/>
    <w:rsid w:val="00992819"/>
    <w:rsid w:val="0099319C"/>
    <w:rsid w:val="00993B19"/>
    <w:rsid w:val="009941BF"/>
    <w:rsid w:val="0099471B"/>
    <w:rsid w:val="009948E3"/>
    <w:rsid w:val="0099569C"/>
    <w:rsid w:val="00997CD6"/>
    <w:rsid w:val="009A1E6A"/>
    <w:rsid w:val="009A2BB4"/>
    <w:rsid w:val="009A2FD0"/>
    <w:rsid w:val="009A3130"/>
    <w:rsid w:val="009A441D"/>
    <w:rsid w:val="009A46F6"/>
    <w:rsid w:val="009A5A2F"/>
    <w:rsid w:val="009A73A8"/>
    <w:rsid w:val="009A791E"/>
    <w:rsid w:val="009B0AD6"/>
    <w:rsid w:val="009B0F9E"/>
    <w:rsid w:val="009B10EB"/>
    <w:rsid w:val="009B2951"/>
    <w:rsid w:val="009B2E0D"/>
    <w:rsid w:val="009B5CE5"/>
    <w:rsid w:val="009B7C92"/>
    <w:rsid w:val="009C0177"/>
    <w:rsid w:val="009C03F1"/>
    <w:rsid w:val="009C0736"/>
    <w:rsid w:val="009C0D29"/>
    <w:rsid w:val="009C116E"/>
    <w:rsid w:val="009C1304"/>
    <w:rsid w:val="009C1605"/>
    <w:rsid w:val="009C2C26"/>
    <w:rsid w:val="009C2E03"/>
    <w:rsid w:val="009C322C"/>
    <w:rsid w:val="009C374B"/>
    <w:rsid w:val="009C3877"/>
    <w:rsid w:val="009C3A2A"/>
    <w:rsid w:val="009C4243"/>
    <w:rsid w:val="009C4E44"/>
    <w:rsid w:val="009C52CC"/>
    <w:rsid w:val="009C5B62"/>
    <w:rsid w:val="009C5BBB"/>
    <w:rsid w:val="009C6246"/>
    <w:rsid w:val="009C6458"/>
    <w:rsid w:val="009C6BA5"/>
    <w:rsid w:val="009C70BF"/>
    <w:rsid w:val="009C73F2"/>
    <w:rsid w:val="009C7601"/>
    <w:rsid w:val="009C7A47"/>
    <w:rsid w:val="009C7E72"/>
    <w:rsid w:val="009D05B3"/>
    <w:rsid w:val="009D130A"/>
    <w:rsid w:val="009D18A5"/>
    <w:rsid w:val="009D4243"/>
    <w:rsid w:val="009D5012"/>
    <w:rsid w:val="009D6194"/>
    <w:rsid w:val="009D6A14"/>
    <w:rsid w:val="009D7888"/>
    <w:rsid w:val="009D78BF"/>
    <w:rsid w:val="009D7B25"/>
    <w:rsid w:val="009E0360"/>
    <w:rsid w:val="009E085D"/>
    <w:rsid w:val="009E0E84"/>
    <w:rsid w:val="009E20B9"/>
    <w:rsid w:val="009E2127"/>
    <w:rsid w:val="009E2928"/>
    <w:rsid w:val="009E2FF8"/>
    <w:rsid w:val="009E499D"/>
    <w:rsid w:val="009E5E9B"/>
    <w:rsid w:val="009E61CC"/>
    <w:rsid w:val="009E6DAB"/>
    <w:rsid w:val="009E7471"/>
    <w:rsid w:val="009E78C0"/>
    <w:rsid w:val="009E7BA5"/>
    <w:rsid w:val="009E7C80"/>
    <w:rsid w:val="009E7EC4"/>
    <w:rsid w:val="009F00C2"/>
    <w:rsid w:val="009F0502"/>
    <w:rsid w:val="009F08A6"/>
    <w:rsid w:val="009F11A9"/>
    <w:rsid w:val="009F210E"/>
    <w:rsid w:val="009F2D52"/>
    <w:rsid w:val="009F4CAE"/>
    <w:rsid w:val="009F555F"/>
    <w:rsid w:val="009F5871"/>
    <w:rsid w:val="009F675B"/>
    <w:rsid w:val="009F6F76"/>
    <w:rsid w:val="00A0033E"/>
    <w:rsid w:val="00A0175C"/>
    <w:rsid w:val="00A0194B"/>
    <w:rsid w:val="00A019D4"/>
    <w:rsid w:val="00A02388"/>
    <w:rsid w:val="00A02530"/>
    <w:rsid w:val="00A03338"/>
    <w:rsid w:val="00A039D7"/>
    <w:rsid w:val="00A04188"/>
    <w:rsid w:val="00A041E9"/>
    <w:rsid w:val="00A04CE4"/>
    <w:rsid w:val="00A07640"/>
    <w:rsid w:val="00A07FAF"/>
    <w:rsid w:val="00A10A75"/>
    <w:rsid w:val="00A10ADB"/>
    <w:rsid w:val="00A10C4D"/>
    <w:rsid w:val="00A11C6D"/>
    <w:rsid w:val="00A120DD"/>
    <w:rsid w:val="00A12D77"/>
    <w:rsid w:val="00A12E90"/>
    <w:rsid w:val="00A13136"/>
    <w:rsid w:val="00A141E5"/>
    <w:rsid w:val="00A14511"/>
    <w:rsid w:val="00A14702"/>
    <w:rsid w:val="00A14947"/>
    <w:rsid w:val="00A14A40"/>
    <w:rsid w:val="00A14C83"/>
    <w:rsid w:val="00A1519B"/>
    <w:rsid w:val="00A151DF"/>
    <w:rsid w:val="00A15B87"/>
    <w:rsid w:val="00A163E9"/>
    <w:rsid w:val="00A1690A"/>
    <w:rsid w:val="00A16ABB"/>
    <w:rsid w:val="00A16ECC"/>
    <w:rsid w:val="00A17D9A"/>
    <w:rsid w:val="00A203B7"/>
    <w:rsid w:val="00A20987"/>
    <w:rsid w:val="00A215AE"/>
    <w:rsid w:val="00A215EA"/>
    <w:rsid w:val="00A221B4"/>
    <w:rsid w:val="00A224FA"/>
    <w:rsid w:val="00A2261C"/>
    <w:rsid w:val="00A226BB"/>
    <w:rsid w:val="00A230DE"/>
    <w:rsid w:val="00A2408E"/>
    <w:rsid w:val="00A244D1"/>
    <w:rsid w:val="00A249D2"/>
    <w:rsid w:val="00A24B56"/>
    <w:rsid w:val="00A24B6A"/>
    <w:rsid w:val="00A25881"/>
    <w:rsid w:val="00A26185"/>
    <w:rsid w:val="00A267ED"/>
    <w:rsid w:val="00A26B6A"/>
    <w:rsid w:val="00A27D61"/>
    <w:rsid w:val="00A3121E"/>
    <w:rsid w:val="00A31513"/>
    <w:rsid w:val="00A31C01"/>
    <w:rsid w:val="00A31F57"/>
    <w:rsid w:val="00A3212F"/>
    <w:rsid w:val="00A32D1F"/>
    <w:rsid w:val="00A334DC"/>
    <w:rsid w:val="00A34E2D"/>
    <w:rsid w:val="00A35446"/>
    <w:rsid w:val="00A35B56"/>
    <w:rsid w:val="00A36148"/>
    <w:rsid w:val="00A36AA7"/>
    <w:rsid w:val="00A374DC"/>
    <w:rsid w:val="00A37F9F"/>
    <w:rsid w:val="00A4048E"/>
    <w:rsid w:val="00A40578"/>
    <w:rsid w:val="00A4113F"/>
    <w:rsid w:val="00A411DB"/>
    <w:rsid w:val="00A416A6"/>
    <w:rsid w:val="00A41E96"/>
    <w:rsid w:val="00A42F63"/>
    <w:rsid w:val="00A432B7"/>
    <w:rsid w:val="00A43F03"/>
    <w:rsid w:val="00A44225"/>
    <w:rsid w:val="00A44538"/>
    <w:rsid w:val="00A44D0D"/>
    <w:rsid w:val="00A45145"/>
    <w:rsid w:val="00A455FA"/>
    <w:rsid w:val="00A457B7"/>
    <w:rsid w:val="00A461F0"/>
    <w:rsid w:val="00A462B7"/>
    <w:rsid w:val="00A4668A"/>
    <w:rsid w:val="00A46B3B"/>
    <w:rsid w:val="00A46BD5"/>
    <w:rsid w:val="00A4727A"/>
    <w:rsid w:val="00A47425"/>
    <w:rsid w:val="00A50031"/>
    <w:rsid w:val="00A5074B"/>
    <w:rsid w:val="00A50B1F"/>
    <w:rsid w:val="00A512C2"/>
    <w:rsid w:val="00A519E0"/>
    <w:rsid w:val="00A51AF8"/>
    <w:rsid w:val="00A51EF0"/>
    <w:rsid w:val="00A52914"/>
    <w:rsid w:val="00A52FC9"/>
    <w:rsid w:val="00A53602"/>
    <w:rsid w:val="00A54DA1"/>
    <w:rsid w:val="00A54DB2"/>
    <w:rsid w:val="00A5684D"/>
    <w:rsid w:val="00A56B52"/>
    <w:rsid w:val="00A5712E"/>
    <w:rsid w:val="00A57650"/>
    <w:rsid w:val="00A607C1"/>
    <w:rsid w:val="00A608D5"/>
    <w:rsid w:val="00A60F9A"/>
    <w:rsid w:val="00A61050"/>
    <w:rsid w:val="00A615E0"/>
    <w:rsid w:val="00A619DB"/>
    <w:rsid w:val="00A62CED"/>
    <w:rsid w:val="00A63BEB"/>
    <w:rsid w:val="00A63C27"/>
    <w:rsid w:val="00A6484C"/>
    <w:rsid w:val="00A65C33"/>
    <w:rsid w:val="00A67A9D"/>
    <w:rsid w:val="00A67D89"/>
    <w:rsid w:val="00A70E41"/>
    <w:rsid w:val="00A715C9"/>
    <w:rsid w:val="00A71F0C"/>
    <w:rsid w:val="00A72825"/>
    <w:rsid w:val="00A72CEB"/>
    <w:rsid w:val="00A72F63"/>
    <w:rsid w:val="00A72F8F"/>
    <w:rsid w:val="00A734B5"/>
    <w:rsid w:val="00A74345"/>
    <w:rsid w:val="00A7445F"/>
    <w:rsid w:val="00A74E4E"/>
    <w:rsid w:val="00A754FF"/>
    <w:rsid w:val="00A75786"/>
    <w:rsid w:val="00A7597E"/>
    <w:rsid w:val="00A7684E"/>
    <w:rsid w:val="00A76A7B"/>
    <w:rsid w:val="00A778F4"/>
    <w:rsid w:val="00A77C3F"/>
    <w:rsid w:val="00A802E7"/>
    <w:rsid w:val="00A80718"/>
    <w:rsid w:val="00A80D0D"/>
    <w:rsid w:val="00A80FE5"/>
    <w:rsid w:val="00A81893"/>
    <w:rsid w:val="00A81DDC"/>
    <w:rsid w:val="00A82421"/>
    <w:rsid w:val="00A837D8"/>
    <w:rsid w:val="00A841F0"/>
    <w:rsid w:val="00A849E6"/>
    <w:rsid w:val="00A85384"/>
    <w:rsid w:val="00A85A81"/>
    <w:rsid w:val="00A85ACD"/>
    <w:rsid w:val="00A85D05"/>
    <w:rsid w:val="00A862FD"/>
    <w:rsid w:val="00A90038"/>
    <w:rsid w:val="00A90F0F"/>
    <w:rsid w:val="00A91292"/>
    <w:rsid w:val="00A91D39"/>
    <w:rsid w:val="00A927C4"/>
    <w:rsid w:val="00A92B35"/>
    <w:rsid w:val="00A93682"/>
    <w:rsid w:val="00A93C8F"/>
    <w:rsid w:val="00A947DD"/>
    <w:rsid w:val="00A94E84"/>
    <w:rsid w:val="00A94F72"/>
    <w:rsid w:val="00A95585"/>
    <w:rsid w:val="00A95786"/>
    <w:rsid w:val="00A96C5C"/>
    <w:rsid w:val="00AA1301"/>
    <w:rsid w:val="00AA160B"/>
    <w:rsid w:val="00AA1CA2"/>
    <w:rsid w:val="00AA1EDC"/>
    <w:rsid w:val="00AA2AD5"/>
    <w:rsid w:val="00AA2F56"/>
    <w:rsid w:val="00AA3D0B"/>
    <w:rsid w:val="00AA51FF"/>
    <w:rsid w:val="00AA55C6"/>
    <w:rsid w:val="00AA5A40"/>
    <w:rsid w:val="00AA5B3D"/>
    <w:rsid w:val="00AA6005"/>
    <w:rsid w:val="00AA7386"/>
    <w:rsid w:val="00AB1185"/>
    <w:rsid w:val="00AB30FA"/>
    <w:rsid w:val="00AB3514"/>
    <w:rsid w:val="00AB3F3F"/>
    <w:rsid w:val="00AB48EA"/>
    <w:rsid w:val="00AB5976"/>
    <w:rsid w:val="00AB6211"/>
    <w:rsid w:val="00AB6DB5"/>
    <w:rsid w:val="00AB7878"/>
    <w:rsid w:val="00AB7991"/>
    <w:rsid w:val="00AC0546"/>
    <w:rsid w:val="00AC13EC"/>
    <w:rsid w:val="00AC196B"/>
    <w:rsid w:val="00AC1D95"/>
    <w:rsid w:val="00AC31D9"/>
    <w:rsid w:val="00AC477B"/>
    <w:rsid w:val="00AC5884"/>
    <w:rsid w:val="00AC59E8"/>
    <w:rsid w:val="00AC614B"/>
    <w:rsid w:val="00AC7266"/>
    <w:rsid w:val="00AC7C3D"/>
    <w:rsid w:val="00AD0DB6"/>
    <w:rsid w:val="00AD1601"/>
    <w:rsid w:val="00AD161C"/>
    <w:rsid w:val="00AD16F0"/>
    <w:rsid w:val="00AD1971"/>
    <w:rsid w:val="00AD1D77"/>
    <w:rsid w:val="00AD1F16"/>
    <w:rsid w:val="00AD20B2"/>
    <w:rsid w:val="00AD210C"/>
    <w:rsid w:val="00AD240A"/>
    <w:rsid w:val="00AD305B"/>
    <w:rsid w:val="00AD30BF"/>
    <w:rsid w:val="00AD45D2"/>
    <w:rsid w:val="00AD6F2E"/>
    <w:rsid w:val="00AD70A8"/>
    <w:rsid w:val="00AD77CE"/>
    <w:rsid w:val="00AD7855"/>
    <w:rsid w:val="00AD7983"/>
    <w:rsid w:val="00AE02EF"/>
    <w:rsid w:val="00AE052B"/>
    <w:rsid w:val="00AE0FF1"/>
    <w:rsid w:val="00AE2D73"/>
    <w:rsid w:val="00AE42F4"/>
    <w:rsid w:val="00AE4836"/>
    <w:rsid w:val="00AE4EAF"/>
    <w:rsid w:val="00AE6304"/>
    <w:rsid w:val="00AE6903"/>
    <w:rsid w:val="00AE7052"/>
    <w:rsid w:val="00AF05D4"/>
    <w:rsid w:val="00AF1622"/>
    <w:rsid w:val="00AF166E"/>
    <w:rsid w:val="00AF2BDA"/>
    <w:rsid w:val="00AF339E"/>
    <w:rsid w:val="00AF37C4"/>
    <w:rsid w:val="00AF55BA"/>
    <w:rsid w:val="00AF697E"/>
    <w:rsid w:val="00AF7DED"/>
    <w:rsid w:val="00AF7FAF"/>
    <w:rsid w:val="00B008D4"/>
    <w:rsid w:val="00B00CF8"/>
    <w:rsid w:val="00B00EDD"/>
    <w:rsid w:val="00B01FE0"/>
    <w:rsid w:val="00B02BE8"/>
    <w:rsid w:val="00B02EA5"/>
    <w:rsid w:val="00B03EC6"/>
    <w:rsid w:val="00B0451A"/>
    <w:rsid w:val="00B0470E"/>
    <w:rsid w:val="00B04BE2"/>
    <w:rsid w:val="00B05684"/>
    <w:rsid w:val="00B07348"/>
    <w:rsid w:val="00B073D9"/>
    <w:rsid w:val="00B10A96"/>
    <w:rsid w:val="00B10C83"/>
    <w:rsid w:val="00B11253"/>
    <w:rsid w:val="00B121DA"/>
    <w:rsid w:val="00B1284E"/>
    <w:rsid w:val="00B130DC"/>
    <w:rsid w:val="00B13BF1"/>
    <w:rsid w:val="00B1502E"/>
    <w:rsid w:val="00B15033"/>
    <w:rsid w:val="00B15D9F"/>
    <w:rsid w:val="00B1631A"/>
    <w:rsid w:val="00B16C58"/>
    <w:rsid w:val="00B16D23"/>
    <w:rsid w:val="00B1707F"/>
    <w:rsid w:val="00B179F3"/>
    <w:rsid w:val="00B17EBE"/>
    <w:rsid w:val="00B20295"/>
    <w:rsid w:val="00B20C4A"/>
    <w:rsid w:val="00B20F25"/>
    <w:rsid w:val="00B21909"/>
    <w:rsid w:val="00B21FA7"/>
    <w:rsid w:val="00B22E1B"/>
    <w:rsid w:val="00B24E10"/>
    <w:rsid w:val="00B24F76"/>
    <w:rsid w:val="00B2569D"/>
    <w:rsid w:val="00B265A9"/>
    <w:rsid w:val="00B26E43"/>
    <w:rsid w:val="00B26FC3"/>
    <w:rsid w:val="00B27F38"/>
    <w:rsid w:val="00B3079F"/>
    <w:rsid w:val="00B3128D"/>
    <w:rsid w:val="00B31CC3"/>
    <w:rsid w:val="00B32A7A"/>
    <w:rsid w:val="00B32D99"/>
    <w:rsid w:val="00B33B3D"/>
    <w:rsid w:val="00B3465C"/>
    <w:rsid w:val="00B34D2E"/>
    <w:rsid w:val="00B3538C"/>
    <w:rsid w:val="00B35643"/>
    <w:rsid w:val="00B35F91"/>
    <w:rsid w:val="00B361A5"/>
    <w:rsid w:val="00B3651B"/>
    <w:rsid w:val="00B36F7F"/>
    <w:rsid w:val="00B37461"/>
    <w:rsid w:val="00B4076A"/>
    <w:rsid w:val="00B40975"/>
    <w:rsid w:val="00B4120D"/>
    <w:rsid w:val="00B419F5"/>
    <w:rsid w:val="00B41C2C"/>
    <w:rsid w:val="00B41DEF"/>
    <w:rsid w:val="00B4229E"/>
    <w:rsid w:val="00B437AB"/>
    <w:rsid w:val="00B43CF6"/>
    <w:rsid w:val="00B447C2"/>
    <w:rsid w:val="00B44D8F"/>
    <w:rsid w:val="00B4545E"/>
    <w:rsid w:val="00B456D8"/>
    <w:rsid w:val="00B45EBD"/>
    <w:rsid w:val="00B46484"/>
    <w:rsid w:val="00B4682E"/>
    <w:rsid w:val="00B473CC"/>
    <w:rsid w:val="00B50121"/>
    <w:rsid w:val="00B503D2"/>
    <w:rsid w:val="00B5072D"/>
    <w:rsid w:val="00B5094F"/>
    <w:rsid w:val="00B50E73"/>
    <w:rsid w:val="00B5155E"/>
    <w:rsid w:val="00B51F02"/>
    <w:rsid w:val="00B51F6E"/>
    <w:rsid w:val="00B53832"/>
    <w:rsid w:val="00B544E1"/>
    <w:rsid w:val="00B54AA8"/>
    <w:rsid w:val="00B55506"/>
    <w:rsid w:val="00B5552D"/>
    <w:rsid w:val="00B560FE"/>
    <w:rsid w:val="00B57BC9"/>
    <w:rsid w:val="00B6041F"/>
    <w:rsid w:val="00B61D80"/>
    <w:rsid w:val="00B61E24"/>
    <w:rsid w:val="00B62E8D"/>
    <w:rsid w:val="00B63565"/>
    <w:rsid w:val="00B6373E"/>
    <w:rsid w:val="00B64689"/>
    <w:rsid w:val="00B64D84"/>
    <w:rsid w:val="00B653C8"/>
    <w:rsid w:val="00B653E3"/>
    <w:rsid w:val="00B67AAC"/>
    <w:rsid w:val="00B70E39"/>
    <w:rsid w:val="00B71196"/>
    <w:rsid w:val="00B716F1"/>
    <w:rsid w:val="00B719DD"/>
    <w:rsid w:val="00B71D4F"/>
    <w:rsid w:val="00B72026"/>
    <w:rsid w:val="00B72AFE"/>
    <w:rsid w:val="00B74183"/>
    <w:rsid w:val="00B74248"/>
    <w:rsid w:val="00B74EB1"/>
    <w:rsid w:val="00B75227"/>
    <w:rsid w:val="00B75B9D"/>
    <w:rsid w:val="00B75F15"/>
    <w:rsid w:val="00B75FFB"/>
    <w:rsid w:val="00B762BA"/>
    <w:rsid w:val="00B76929"/>
    <w:rsid w:val="00B76F0B"/>
    <w:rsid w:val="00B77342"/>
    <w:rsid w:val="00B77A14"/>
    <w:rsid w:val="00B81491"/>
    <w:rsid w:val="00B81A5A"/>
    <w:rsid w:val="00B81D36"/>
    <w:rsid w:val="00B81E9C"/>
    <w:rsid w:val="00B82563"/>
    <w:rsid w:val="00B82770"/>
    <w:rsid w:val="00B827C9"/>
    <w:rsid w:val="00B829EC"/>
    <w:rsid w:val="00B82CD8"/>
    <w:rsid w:val="00B83480"/>
    <w:rsid w:val="00B8385E"/>
    <w:rsid w:val="00B8442B"/>
    <w:rsid w:val="00B8482D"/>
    <w:rsid w:val="00B84940"/>
    <w:rsid w:val="00B8516A"/>
    <w:rsid w:val="00B85B69"/>
    <w:rsid w:val="00B85E6C"/>
    <w:rsid w:val="00B9082A"/>
    <w:rsid w:val="00B91C05"/>
    <w:rsid w:val="00B924CA"/>
    <w:rsid w:val="00B935DC"/>
    <w:rsid w:val="00B9391A"/>
    <w:rsid w:val="00B939E8"/>
    <w:rsid w:val="00B93FC4"/>
    <w:rsid w:val="00B94270"/>
    <w:rsid w:val="00B957C1"/>
    <w:rsid w:val="00B9582D"/>
    <w:rsid w:val="00B95D8B"/>
    <w:rsid w:val="00B9639E"/>
    <w:rsid w:val="00B96CB3"/>
    <w:rsid w:val="00BA09A7"/>
    <w:rsid w:val="00BA1014"/>
    <w:rsid w:val="00BA1BBE"/>
    <w:rsid w:val="00BA2010"/>
    <w:rsid w:val="00BA2C1D"/>
    <w:rsid w:val="00BA37D0"/>
    <w:rsid w:val="00BA3B60"/>
    <w:rsid w:val="00BA3CE7"/>
    <w:rsid w:val="00BA409F"/>
    <w:rsid w:val="00BA4D32"/>
    <w:rsid w:val="00BA4DF3"/>
    <w:rsid w:val="00BA5ADE"/>
    <w:rsid w:val="00BA5BEE"/>
    <w:rsid w:val="00BA79B7"/>
    <w:rsid w:val="00BB01A8"/>
    <w:rsid w:val="00BB0246"/>
    <w:rsid w:val="00BB0FCA"/>
    <w:rsid w:val="00BB1690"/>
    <w:rsid w:val="00BB1946"/>
    <w:rsid w:val="00BB1D4A"/>
    <w:rsid w:val="00BB26F0"/>
    <w:rsid w:val="00BB2A69"/>
    <w:rsid w:val="00BB2BA7"/>
    <w:rsid w:val="00BB35E8"/>
    <w:rsid w:val="00BB449B"/>
    <w:rsid w:val="00BB4C72"/>
    <w:rsid w:val="00BB6D68"/>
    <w:rsid w:val="00BB6F9C"/>
    <w:rsid w:val="00BB706E"/>
    <w:rsid w:val="00BB7849"/>
    <w:rsid w:val="00BB7F9D"/>
    <w:rsid w:val="00BC057F"/>
    <w:rsid w:val="00BC1949"/>
    <w:rsid w:val="00BC1D0C"/>
    <w:rsid w:val="00BC1DBC"/>
    <w:rsid w:val="00BC1ED4"/>
    <w:rsid w:val="00BC246C"/>
    <w:rsid w:val="00BC2D18"/>
    <w:rsid w:val="00BC2F66"/>
    <w:rsid w:val="00BC318F"/>
    <w:rsid w:val="00BC47F3"/>
    <w:rsid w:val="00BC4FBA"/>
    <w:rsid w:val="00BC52B3"/>
    <w:rsid w:val="00BC63F7"/>
    <w:rsid w:val="00BC73B8"/>
    <w:rsid w:val="00BC7428"/>
    <w:rsid w:val="00BC7D52"/>
    <w:rsid w:val="00BC7FAF"/>
    <w:rsid w:val="00BD002C"/>
    <w:rsid w:val="00BD0443"/>
    <w:rsid w:val="00BD0BC4"/>
    <w:rsid w:val="00BD13A3"/>
    <w:rsid w:val="00BD14A5"/>
    <w:rsid w:val="00BD155A"/>
    <w:rsid w:val="00BD1C3E"/>
    <w:rsid w:val="00BD26AC"/>
    <w:rsid w:val="00BD27B5"/>
    <w:rsid w:val="00BD289D"/>
    <w:rsid w:val="00BD45F7"/>
    <w:rsid w:val="00BD4E3E"/>
    <w:rsid w:val="00BD5184"/>
    <w:rsid w:val="00BD5A99"/>
    <w:rsid w:val="00BD618B"/>
    <w:rsid w:val="00BD7102"/>
    <w:rsid w:val="00BD7661"/>
    <w:rsid w:val="00BD7806"/>
    <w:rsid w:val="00BD7B8A"/>
    <w:rsid w:val="00BE0272"/>
    <w:rsid w:val="00BE0404"/>
    <w:rsid w:val="00BE15F2"/>
    <w:rsid w:val="00BE1B42"/>
    <w:rsid w:val="00BE1BD3"/>
    <w:rsid w:val="00BE2503"/>
    <w:rsid w:val="00BE33DB"/>
    <w:rsid w:val="00BE3965"/>
    <w:rsid w:val="00BE4354"/>
    <w:rsid w:val="00BE4525"/>
    <w:rsid w:val="00BE5B97"/>
    <w:rsid w:val="00BE5F71"/>
    <w:rsid w:val="00BE5FCD"/>
    <w:rsid w:val="00BE6A1F"/>
    <w:rsid w:val="00BE6A33"/>
    <w:rsid w:val="00BE7578"/>
    <w:rsid w:val="00BE7E85"/>
    <w:rsid w:val="00BF0DF0"/>
    <w:rsid w:val="00BF1F03"/>
    <w:rsid w:val="00BF23E6"/>
    <w:rsid w:val="00BF2670"/>
    <w:rsid w:val="00BF2A99"/>
    <w:rsid w:val="00BF3F04"/>
    <w:rsid w:val="00BF4837"/>
    <w:rsid w:val="00BF4DDF"/>
    <w:rsid w:val="00BF6C1E"/>
    <w:rsid w:val="00BF7763"/>
    <w:rsid w:val="00C01F3D"/>
    <w:rsid w:val="00C01F72"/>
    <w:rsid w:val="00C02440"/>
    <w:rsid w:val="00C03AB1"/>
    <w:rsid w:val="00C03F8F"/>
    <w:rsid w:val="00C04084"/>
    <w:rsid w:val="00C0527A"/>
    <w:rsid w:val="00C05924"/>
    <w:rsid w:val="00C059A1"/>
    <w:rsid w:val="00C06AF0"/>
    <w:rsid w:val="00C0722A"/>
    <w:rsid w:val="00C07FB6"/>
    <w:rsid w:val="00C10787"/>
    <w:rsid w:val="00C1079E"/>
    <w:rsid w:val="00C1206F"/>
    <w:rsid w:val="00C12564"/>
    <w:rsid w:val="00C13E7B"/>
    <w:rsid w:val="00C16237"/>
    <w:rsid w:val="00C163EA"/>
    <w:rsid w:val="00C16816"/>
    <w:rsid w:val="00C17CDF"/>
    <w:rsid w:val="00C17CF9"/>
    <w:rsid w:val="00C17E2C"/>
    <w:rsid w:val="00C2000F"/>
    <w:rsid w:val="00C2019A"/>
    <w:rsid w:val="00C201DA"/>
    <w:rsid w:val="00C2072C"/>
    <w:rsid w:val="00C20BB0"/>
    <w:rsid w:val="00C20F2F"/>
    <w:rsid w:val="00C21925"/>
    <w:rsid w:val="00C21CBD"/>
    <w:rsid w:val="00C21DA5"/>
    <w:rsid w:val="00C224A7"/>
    <w:rsid w:val="00C226C7"/>
    <w:rsid w:val="00C2318B"/>
    <w:rsid w:val="00C232D7"/>
    <w:rsid w:val="00C23A13"/>
    <w:rsid w:val="00C23E2A"/>
    <w:rsid w:val="00C25CCF"/>
    <w:rsid w:val="00C26031"/>
    <w:rsid w:val="00C26A24"/>
    <w:rsid w:val="00C27005"/>
    <w:rsid w:val="00C27D9E"/>
    <w:rsid w:val="00C30041"/>
    <w:rsid w:val="00C30814"/>
    <w:rsid w:val="00C33DEA"/>
    <w:rsid w:val="00C33F84"/>
    <w:rsid w:val="00C33FF1"/>
    <w:rsid w:val="00C345E2"/>
    <w:rsid w:val="00C34830"/>
    <w:rsid w:val="00C356A9"/>
    <w:rsid w:val="00C364A8"/>
    <w:rsid w:val="00C36894"/>
    <w:rsid w:val="00C36DB0"/>
    <w:rsid w:val="00C374B4"/>
    <w:rsid w:val="00C37692"/>
    <w:rsid w:val="00C400D8"/>
    <w:rsid w:val="00C4016C"/>
    <w:rsid w:val="00C41721"/>
    <w:rsid w:val="00C41EFA"/>
    <w:rsid w:val="00C41F35"/>
    <w:rsid w:val="00C425B0"/>
    <w:rsid w:val="00C425FE"/>
    <w:rsid w:val="00C4334C"/>
    <w:rsid w:val="00C439CC"/>
    <w:rsid w:val="00C44980"/>
    <w:rsid w:val="00C458A1"/>
    <w:rsid w:val="00C45C93"/>
    <w:rsid w:val="00C461DB"/>
    <w:rsid w:val="00C46DF7"/>
    <w:rsid w:val="00C47585"/>
    <w:rsid w:val="00C47EF0"/>
    <w:rsid w:val="00C52077"/>
    <w:rsid w:val="00C52867"/>
    <w:rsid w:val="00C52C86"/>
    <w:rsid w:val="00C5302D"/>
    <w:rsid w:val="00C5457B"/>
    <w:rsid w:val="00C552BC"/>
    <w:rsid w:val="00C555A8"/>
    <w:rsid w:val="00C564F0"/>
    <w:rsid w:val="00C56B02"/>
    <w:rsid w:val="00C56C2F"/>
    <w:rsid w:val="00C6043C"/>
    <w:rsid w:val="00C6070F"/>
    <w:rsid w:val="00C60C6E"/>
    <w:rsid w:val="00C60DE2"/>
    <w:rsid w:val="00C6133B"/>
    <w:rsid w:val="00C62605"/>
    <w:rsid w:val="00C64138"/>
    <w:rsid w:val="00C641E1"/>
    <w:rsid w:val="00C647C8"/>
    <w:rsid w:val="00C6490F"/>
    <w:rsid w:val="00C64C0D"/>
    <w:rsid w:val="00C650C2"/>
    <w:rsid w:val="00C65A0D"/>
    <w:rsid w:val="00C66738"/>
    <w:rsid w:val="00C66C7E"/>
    <w:rsid w:val="00C7010D"/>
    <w:rsid w:val="00C70602"/>
    <w:rsid w:val="00C72F37"/>
    <w:rsid w:val="00C738BD"/>
    <w:rsid w:val="00C745DE"/>
    <w:rsid w:val="00C75D25"/>
    <w:rsid w:val="00C765D5"/>
    <w:rsid w:val="00C76E5F"/>
    <w:rsid w:val="00C76FFC"/>
    <w:rsid w:val="00C777BA"/>
    <w:rsid w:val="00C77BDD"/>
    <w:rsid w:val="00C77C75"/>
    <w:rsid w:val="00C805E6"/>
    <w:rsid w:val="00C807B9"/>
    <w:rsid w:val="00C808E1"/>
    <w:rsid w:val="00C80D6C"/>
    <w:rsid w:val="00C80E89"/>
    <w:rsid w:val="00C81A85"/>
    <w:rsid w:val="00C82098"/>
    <w:rsid w:val="00C8223E"/>
    <w:rsid w:val="00C82D27"/>
    <w:rsid w:val="00C82ED1"/>
    <w:rsid w:val="00C848AA"/>
    <w:rsid w:val="00C864C4"/>
    <w:rsid w:val="00C8660A"/>
    <w:rsid w:val="00C87C65"/>
    <w:rsid w:val="00C909CC"/>
    <w:rsid w:val="00C90B2F"/>
    <w:rsid w:val="00C913BD"/>
    <w:rsid w:val="00C91471"/>
    <w:rsid w:val="00C91B11"/>
    <w:rsid w:val="00C935A4"/>
    <w:rsid w:val="00C93699"/>
    <w:rsid w:val="00C9375B"/>
    <w:rsid w:val="00C937A1"/>
    <w:rsid w:val="00C9417A"/>
    <w:rsid w:val="00C94A18"/>
    <w:rsid w:val="00C94B97"/>
    <w:rsid w:val="00C9514E"/>
    <w:rsid w:val="00C953D6"/>
    <w:rsid w:val="00C95919"/>
    <w:rsid w:val="00C9627B"/>
    <w:rsid w:val="00C97A10"/>
    <w:rsid w:val="00C97DCC"/>
    <w:rsid w:val="00CA00AE"/>
    <w:rsid w:val="00CA16AA"/>
    <w:rsid w:val="00CA18D5"/>
    <w:rsid w:val="00CA2921"/>
    <w:rsid w:val="00CA2A52"/>
    <w:rsid w:val="00CA352E"/>
    <w:rsid w:val="00CA3C5A"/>
    <w:rsid w:val="00CA41B8"/>
    <w:rsid w:val="00CA5FC0"/>
    <w:rsid w:val="00CA6AD9"/>
    <w:rsid w:val="00CA6F39"/>
    <w:rsid w:val="00CA6FED"/>
    <w:rsid w:val="00CA705B"/>
    <w:rsid w:val="00CB036B"/>
    <w:rsid w:val="00CB043E"/>
    <w:rsid w:val="00CB117E"/>
    <w:rsid w:val="00CB11BE"/>
    <w:rsid w:val="00CB15E7"/>
    <w:rsid w:val="00CB1E86"/>
    <w:rsid w:val="00CB27CD"/>
    <w:rsid w:val="00CB3096"/>
    <w:rsid w:val="00CB32BD"/>
    <w:rsid w:val="00CB49EA"/>
    <w:rsid w:val="00CB4C6A"/>
    <w:rsid w:val="00CB50C2"/>
    <w:rsid w:val="00CB6330"/>
    <w:rsid w:val="00CB6421"/>
    <w:rsid w:val="00CB691E"/>
    <w:rsid w:val="00CB774D"/>
    <w:rsid w:val="00CC0F21"/>
    <w:rsid w:val="00CC0F6C"/>
    <w:rsid w:val="00CC16F6"/>
    <w:rsid w:val="00CC1711"/>
    <w:rsid w:val="00CC1F10"/>
    <w:rsid w:val="00CC33B7"/>
    <w:rsid w:val="00CC3582"/>
    <w:rsid w:val="00CC3D1B"/>
    <w:rsid w:val="00CC40AA"/>
    <w:rsid w:val="00CC48ED"/>
    <w:rsid w:val="00CC664E"/>
    <w:rsid w:val="00CC79B8"/>
    <w:rsid w:val="00CD057F"/>
    <w:rsid w:val="00CD0852"/>
    <w:rsid w:val="00CD0B48"/>
    <w:rsid w:val="00CD1003"/>
    <w:rsid w:val="00CD1097"/>
    <w:rsid w:val="00CD143A"/>
    <w:rsid w:val="00CD2B9E"/>
    <w:rsid w:val="00CD34D3"/>
    <w:rsid w:val="00CD36D3"/>
    <w:rsid w:val="00CD4416"/>
    <w:rsid w:val="00CD497F"/>
    <w:rsid w:val="00CD4DD1"/>
    <w:rsid w:val="00CD61E0"/>
    <w:rsid w:val="00CD67B9"/>
    <w:rsid w:val="00CD6A27"/>
    <w:rsid w:val="00CD6AA3"/>
    <w:rsid w:val="00CD73A1"/>
    <w:rsid w:val="00CD7B8E"/>
    <w:rsid w:val="00CE003D"/>
    <w:rsid w:val="00CE042F"/>
    <w:rsid w:val="00CE0E4B"/>
    <w:rsid w:val="00CE235C"/>
    <w:rsid w:val="00CE2FA7"/>
    <w:rsid w:val="00CE3B51"/>
    <w:rsid w:val="00CE4084"/>
    <w:rsid w:val="00CE4934"/>
    <w:rsid w:val="00CE4E5C"/>
    <w:rsid w:val="00CE4FE1"/>
    <w:rsid w:val="00CE51A5"/>
    <w:rsid w:val="00CE5337"/>
    <w:rsid w:val="00CE6528"/>
    <w:rsid w:val="00CE661A"/>
    <w:rsid w:val="00CE6FB7"/>
    <w:rsid w:val="00CE7044"/>
    <w:rsid w:val="00CE7137"/>
    <w:rsid w:val="00CE76A7"/>
    <w:rsid w:val="00CE7A71"/>
    <w:rsid w:val="00CE7DA3"/>
    <w:rsid w:val="00CF147F"/>
    <w:rsid w:val="00CF2035"/>
    <w:rsid w:val="00CF22B3"/>
    <w:rsid w:val="00CF250B"/>
    <w:rsid w:val="00CF25CB"/>
    <w:rsid w:val="00CF2B62"/>
    <w:rsid w:val="00CF5577"/>
    <w:rsid w:val="00CF55F1"/>
    <w:rsid w:val="00CF6006"/>
    <w:rsid w:val="00D0052D"/>
    <w:rsid w:val="00D017A8"/>
    <w:rsid w:val="00D02135"/>
    <w:rsid w:val="00D025A9"/>
    <w:rsid w:val="00D035CD"/>
    <w:rsid w:val="00D0394F"/>
    <w:rsid w:val="00D0520A"/>
    <w:rsid w:val="00D067E8"/>
    <w:rsid w:val="00D0767E"/>
    <w:rsid w:val="00D07B60"/>
    <w:rsid w:val="00D1122F"/>
    <w:rsid w:val="00D11C9F"/>
    <w:rsid w:val="00D1246A"/>
    <w:rsid w:val="00D12598"/>
    <w:rsid w:val="00D1338E"/>
    <w:rsid w:val="00D13E49"/>
    <w:rsid w:val="00D14524"/>
    <w:rsid w:val="00D207AF"/>
    <w:rsid w:val="00D20AEA"/>
    <w:rsid w:val="00D20BF4"/>
    <w:rsid w:val="00D21156"/>
    <w:rsid w:val="00D219C2"/>
    <w:rsid w:val="00D22B7B"/>
    <w:rsid w:val="00D2315F"/>
    <w:rsid w:val="00D23430"/>
    <w:rsid w:val="00D2398D"/>
    <w:rsid w:val="00D23B8A"/>
    <w:rsid w:val="00D24661"/>
    <w:rsid w:val="00D247ED"/>
    <w:rsid w:val="00D25F16"/>
    <w:rsid w:val="00D2643F"/>
    <w:rsid w:val="00D26790"/>
    <w:rsid w:val="00D268CC"/>
    <w:rsid w:val="00D26EA3"/>
    <w:rsid w:val="00D27410"/>
    <w:rsid w:val="00D3013A"/>
    <w:rsid w:val="00D30169"/>
    <w:rsid w:val="00D301C7"/>
    <w:rsid w:val="00D30257"/>
    <w:rsid w:val="00D30452"/>
    <w:rsid w:val="00D30EB7"/>
    <w:rsid w:val="00D30EEB"/>
    <w:rsid w:val="00D31179"/>
    <w:rsid w:val="00D31548"/>
    <w:rsid w:val="00D3179F"/>
    <w:rsid w:val="00D319E8"/>
    <w:rsid w:val="00D31A73"/>
    <w:rsid w:val="00D31EFB"/>
    <w:rsid w:val="00D329F7"/>
    <w:rsid w:val="00D32D9D"/>
    <w:rsid w:val="00D32E53"/>
    <w:rsid w:val="00D33B13"/>
    <w:rsid w:val="00D33ECC"/>
    <w:rsid w:val="00D345D5"/>
    <w:rsid w:val="00D36096"/>
    <w:rsid w:val="00D36858"/>
    <w:rsid w:val="00D36D5E"/>
    <w:rsid w:val="00D372E9"/>
    <w:rsid w:val="00D40874"/>
    <w:rsid w:val="00D40BB9"/>
    <w:rsid w:val="00D41152"/>
    <w:rsid w:val="00D41307"/>
    <w:rsid w:val="00D41469"/>
    <w:rsid w:val="00D42529"/>
    <w:rsid w:val="00D436A5"/>
    <w:rsid w:val="00D43A07"/>
    <w:rsid w:val="00D442B5"/>
    <w:rsid w:val="00D44709"/>
    <w:rsid w:val="00D46986"/>
    <w:rsid w:val="00D4726C"/>
    <w:rsid w:val="00D472E0"/>
    <w:rsid w:val="00D50C8F"/>
    <w:rsid w:val="00D51422"/>
    <w:rsid w:val="00D5167B"/>
    <w:rsid w:val="00D518A9"/>
    <w:rsid w:val="00D51D36"/>
    <w:rsid w:val="00D52029"/>
    <w:rsid w:val="00D52989"/>
    <w:rsid w:val="00D5397A"/>
    <w:rsid w:val="00D53A50"/>
    <w:rsid w:val="00D5424F"/>
    <w:rsid w:val="00D543AD"/>
    <w:rsid w:val="00D555A7"/>
    <w:rsid w:val="00D55734"/>
    <w:rsid w:val="00D557AA"/>
    <w:rsid w:val="00D566CB"/>
    <w:rsid w:val="00D56AFA"/>
    <w:rsid w:val="00D57B53"/>
    <w:rsid w:val="00D60C6E"/>
    <w:rsid w:val="00D60D0E"/>
    <w:rsid w:val="00D61E52"/>
    <w:rsid w:val="00D62CDC"/>
    <w:rsid w:val="00D646A2"/>
    <w:rsid w:val="00D64DFF"/>
    <w:rsid w:val="00D66326"/>
    <w:rsid w:val="00D66352"/>
    <w:rsid w:val="00D676E7"/>
    <w:rsid w:val="00D67850"/>
    <w:rsid w:val="00D67881"/>
    <w:rsid w:val="00D67BA2"/>
    <w:rsid w:val="00D67E31"/>
    <w:rsid w:val="00D708E0"/>
    <w:rsid w:val="00D71067"/>
    <w:rsid w:val="00D71AD4"/>
    <w:rsid w:val="00D71ADB"/>
    <w:rsid w:val="00D71D3F"/>
    <w:rsid w:val="00D73445"/>
    <w:rsid w:val="00D73598"/>
    <w:rsid w:val="00D73A58"/>
    <w:rsid w:val="00D748A4"/>
    <w:rsid w:val="00D748CE"/>
    <w:rsid w:val="00D74A11"/>
    <w:rsid w:val="00D74B1B"/>
    <w:rsid w:val="00D74DB4"/>
    <w:rsid w:val="00D75C61"/>
    <w:rsid w:val="00D76280"/>
    <w:rsid w:val="00D765D7"/>
    <w:rsid w:val="00D76689"/>
    <w:rsid w:val="00D76B30"/>
    <w:rsid w:val="00D76EEB"/>
    <w:rsid w:val="00D7754B"/>
    <w:rsid w:val="00D779A5"/>
    <w:rsid w:val="00D8027E"/>
    <w:rsid w:val="00D806C1"/>
    <w:rsid w:val="00D80F51"/>
    <w:rsid w:val="00D810E4"/>
    <w:rsid w:val="00D811CD"/>
    <w:rsid w:val="00D811FE"/>
    <w:rsid w:val="00D81F86"/>
    <w:rsid w:val="00D81FCA"/>
    <w:rsid w:val="00D82541"/>
    <w:rsid w:val="00D82602"/>
    <w:rsid w:val="00D8277F"/>
    <w:rsid w:val="00D82BA7"/>
    <w:rsid w:val="00D834D8"/>
    <w:rsid w:val="00D8392A"/>
    <w:rsid w:val="00D84755"/>
    <w:rsid w:val="00D84C4F"/>
    <w:rsid w:val="00D85354"/>
    <w:rsid w:val="00D90C8D"/>
    <w:rsid w:val="00D91900"/>
    <w:rsid w:val="00D91C44"/>
    <w:rsid w:val="00D91D53"/>
    <w:rsid w:val="00D92532"/>
    <w:rsid w:val="00D92B27"/>
    <w:rsid w:val="00D93EAE"/>
    <w:rsid w:val="00D94092"/>
    <w:rsid w:val="00D941F0"/>
    <w:rsid w:val="00D94CEE"/>
    <w:rsid w:val="00D95D5A"/>
    <w:rsid w:val="00DA0406"/>
    <w:rsid w:val="00DA16C7"/>
    <w:rsid w:val="00DA1E11"/>
    <w:rsid w:val="00DA1E5F"/>
    <w:rsid w:val="00DA2BCF"/>
    <w:rsid w:val="00DA30D1"/>
    <w:rsid w:val="00DA310C"/>
    <w:rsid w:val="00DA3156"/>
    <w:rsid w:val="00DA468E"/>
    <w:rsid w:val="00DA4758"/>
    <w:rsid w:val="00DA672D"/>
    <w:rsid w:val="00DB0095"/>
    <w:rsid w:val="00DB1F0C"/>
    <w:rsid w:val="00DB25AD"/>
    <w:rsid w:val="00DB2797"/>
    <w:rsid w:val="00DB3DEA"/>
    <w:rsid w:val="00DB3EAF"/>
    <w:rsid w:val="00DB44F9"/>
    <w:rsid w:val="00DB4F12"/>
    <w:rsid w:val="00DB5F33"/>
    <w:rsid w:val="00DB7AE7"/>
    <w:rsid w:val="00DC031B"/>
    <w:rsid w:val="00DC048B"/>
    <w:rsid w:val="00DC15B1"/>
    <w:rsid w:val="00DC1738"/>
    <w:rsid w:val="00DC2EA1"/>
    <w:rsid w:val="00DC3F68"/>
    <w:rsid w:val="00DC4302"/>
    <w:rsid w:val="00DC6FC3"/>
    <w:rsid w:val="00DC7B98"/>
    <w:rsid w:val="00DC7C53"/>
    <w:rsid w:val="00DD05D5"/>
    <w:rsid w:val="00DD079F"/>
    <w:rsid w:val="00DD07CD"/>
    <w:rsid w:val="00DD0B75"/>
    <w:rsid w:val="00DD0FE3"/>
    <w:rsid w:val="00DD10C0"/>
    <w:rsid w:val="00DD2041"/>
    <w:rsid w:val="00DD2653"/>
    <w:rsid w:val="00DD33E2"/>
    <w:rsid w:val="00DD37B5"/>
    <w:rsid w:val="00DD3946"/>
    <w:rsid w:val="00DD3AB6"/>
    <w:rsid w:val="00DD3B06"/>
    <w:rsid w:val="00DD4619"/>
    <w:rsid w:val="00DD56FE"/>
    <w:rsid w:val="00DD5D06"/>
    <w:rsid w:val="00DD7289"/>
    <w:rsid w:val="00DD7A5C"/>
    <w:rsid w:val="00DE02B2"/>
    <w:rsid w:val="00DE0614"/>
    <w:rsid w:val="00DE0C5C"/>
    <w:rsid w:val="00DE16A6"/>
    <w:rsid w:val="00DE1E3A"/>
    <w:rsid w:val="00DE24A0"/>
    <w:rsid w:val="00DE2761"/>
    <w:rsid w:val="00DE2E05"/>
    <w:rsid w:val="00DE3475"/>
    <w:rsid w:val="00DE348E"/>
    <w:rsid w:val="00DE4228"/>
    <w:rsid w:val="00DE4A81"/>
    <w:rsid w:val="00DE58FA"/>
    <w:rsid w:val="00DE6F9C"/>
    <w:rsid w:val="00DE737B"/>
    <w:rsid w:val="00DE783A"/>
    <w:rsid w:val="00DE7B1C"/>
    <w:rsid w:val="00DF144F"/>
    <w:rsid w:val="00DF1D91"/>
    <w:rsid w:val="00DF23D8"/>
    <w:rsid w:val="00DF331D"/>
    <w:rsid w:val="00DF381E"/>
    <w:rsid w:val="00DF5413"/>
    <w:rsid w:val="00DF6789"/>
    <w:rsid w:val="00DF6ABB"/>
    <w:rsid w:val="00DF6C83"/>
    <w:rsid w:val="00E0017E"/>
    <w:rsid w:val="00E01C42"/>
    <w:rsid w:val="00E04AA9"/>
    <w:rsid w:val="00E056D3"/>
    <w:rsid w:val="00E05C89"/>
    <w:rsid w:val="00E0631A"/>
    <w:rsid w:val="00E06A7F"/>
    <w:rsid w:val="00E0748F"/>
    <w:rsid w:val="00E07F2C"/>
    <w:rsid w:val="00E1063D"/>
    <w:rsid w:val="00E11525"/>
    <w:rsid w:val="00E11B78"/>
    <w:rsid w:val="00E125EF"/>
    <w:rsid w:val="00E12D79"/>
    <w:rsid w:val="00E141AC"/>
    <w:rsid w:val="00E148AC"/>
    <w:rsid w:val="00E14EE5"/>
    <w:rsid w:val="00E155E9"/>
    <w:rsid w:val="00E156EC"/>
    <w:rsid w:val="00E15A04"/>
    <w:rsid w:val="00E1647F"/>
    <w:rsid w:val="00E16574"/>
    <w:rsid w:val="00E1707E"/>
    <w:rsid w:val="00E20C1D"/>
    <w:rsid w:val="00E21030"/>
    <w:rsid w:val="00E213FD"/>
    <w:rsid w:val="00E22169"/>
    <w:rsid w:val="00E22F26"/>
    <w:rsid w:val="00E23425"/>
    <w:rsid w:val="00E238C3"/>
    <w:rsid w:val="00E24585"/>
    <w:rsid w:val="00E24EA3"/>
    <w:rsid w:val="00E25C14"/>
    <w:rsid w:val="00E26281"/>
    <w:rsid w:val="00E26E9C"/>
    <w:rsid w:val="00E270B1"/>
    <w:rsid w:val="00E271A6"/>
    <w:rsid w:val="00E27461"/>
    <w:rsid w:val="00E27A26"/>
    <w:rsid w:val="00E27A73"/>
    <w:rsid w:val="00E27B1B"/>
    <w:rsid w:val="00E31DF1"/>
    <w:rsid w:val="00E33762"/>
    <w:rsid w:val="00E3383F"/>
    <w:rsid w:val="00E33B69"/>
    <w:rsid w:val="00E349FD"/>
    <w:rsid w:val="00E3566D"/>
    <w:rsid w:val="00E364BA"/>
    <w:rsid w:val="00E371DE"/>
    <w:rsid w:val="00E37FE4"/>
    <w:rsid w:val="00E37FF3"/>
    <w:rsid w:val="00E40028"/>
    <w:rsid w:val="00E40529"/>
    <w:rsid w:val="00E40B9A"/>
    <w:rsid w:val="00E412E8"/>
    <w:rsid w:val="00E4185F"/>
    <w:rsid w:val="00E42302"/>
    <w:rsid w:val="00E43336"/>
    <w:rsid w:val="00E437E1"/>
    <w:rsid w:val="00E43A98"/>
    <w:rsid w:val="00E43B2E"/>
    <w:rsid w:val="00E44256"/>
    <w:rsid w:val="00E44DCF"/>
    <w:rsid w:val="00E45660"/>
    <w:rsid w:val="00E45788"/>
    <w:rsid w:val="00E458BE"/>
    <w:rsid w:val="00E46389"/>
    <w:rsid w:val="00E4672B"/>
    <w:rsid w:val="00E4740F"/>
    <w:rsid w:val="00E4757F"/>
    <w:rsid w:val="00E477D7"/>
    <w:rsid w:val="00E479D4"/>
    <w:rsid w:val="00E47E8B"/>
    <w:rsid w:val="00E47F9F"/>
    <w:rsid w:val="00E500C7"/>
    <w:rsid w:val="00E505CE"/>
    <w:rsid w:val="00E509CB"/>
    <w:rsid w:val="00E522DE"/>
    <w:rsid w:val="00E52415"/>
    <w:rsid w:val="00E5243C"/>
    <w:rsid w:val="00E52897"/>
    <w:rsid w:val="00E52F9D"/>
    <w:rsid w:val="00E5527D"/>
    <w:rsid w:val="00E561B9"/>
    <w:rsid w:val="00E565C0"/>
    <w:rsid w:val="00E56732"/>
    <w:rsid w:val="00E5720A"/>
    <w:rsid w:val="00E573F1"/>
    <w:rsid w:val="00E57809"/>
    <w:rsid w:val="00E57C0E"/>
    <w:rsid w:val="00E600B0"/>
    <w:rsid w:val="00E60424"/>
    <w:rsid w:val="00E61310"/>
    <w:rsid w:val="00E6198B"/>
    <w:rsid w:val="00E628E1"/>
    <w:rsid w:val="00E62A41"/>
    <w:rsid w:val="00E62BB9"/>
    <w:rsid w:val="00E63595"/>
    <w:rsid w:val="00E63C66"/>
    <w:rsid w:val="00E641D3"/>
    <w:rsid w:val="00E64965"/>
    <w:rsid w:val="00E64C4A"/>
    <w:rsid w:val="00E65580"/>
    <w:rsid w:val="00E6677F"/>
    <w:rsid w:val="00E667DB"/>
    <w:rsid w:val="00E66812"/>
    <w:rsid w:val="00E670BB"/>
    <w:rsid w:val="00E67224"/>
    <w:rsid w:val="00E67E41"/>
    <w:rsid w:val="00E708BE"/>
    <w:rsid w:val="00E70BCF"/>
    <w:rsid w:val="00E71926"/>
    <w:rsid w:val="00E71FF5"/>
    <w:rsid w:val="00E72EB0"/>
    <w:rsid w:val="00E7350F"/>
    <w:rsid w:val="00E745D0"/>
    <w:rsid w:val="00E74A87"/>
    <w:rsid w:val="00E74EC2"/>
    <w:rsid w:val="00E74F55"/>
    <w:rsid w:val="00E74FB8"/>
    <w:rsid w:val="00E753A2"/>
    <w:rsid w:val="00E755DC"/>
    <w:rsid w:val="00E75E77"/>
    <w:rsid w:val="00E76F97"/>
    <w:rsid w:val="00E7741A"/>
    <w:rsid w:val="00E7779A"/>
    <w:rsid w:val="00E77924"/>
    <w:rsid w:val="00E77F6F"/>
    <w:rsid w:val="00E77F71"/>
    <w:rsid w:val="00E80117"/>
    <w:rsid w:val="00E804A4"/>
    <w:rsid w:val="00E8161C"/>
    <w:rsid w:val="00E82D48"/>
    <w:rsid w:val="00E83732"/>
    <w:rsid w:val="00E84465"/>
    <w:rsid w:val="00E84633"/>
    <w:rsid w:val="00E86278"/>
    <w:rsid w:val="00E86467"/>
    <w:rsid w:val="00E87486"/>
    <w:rsid w:val="00E874AE"/>
    <w:rsid w:val="00E87F1C"/>
    <w:rsid w:val="00E90109"/>
    <w:rsid w:val="00E90609"/>
    <w:rsid w:val="00E90C19"/>
    <w:rsid w:val="00E90C3D"/>
    <w:rsid w:val="00E91544"/>
    <w:rsid w:val="00E91F05"/>
    <w:rsid w:val="00E92292"/>
    <w:rsid w:val="00E926C3"/>
    <w:rsid w:val="00E93363"/>
    <w:rsid w:val="00E93498"/>
    <w:rsid w:val="00E9382F"/>
    <w:rsid w:val="00E938DF"/>
    <w:rsid w:val="00E94B0C"/>
    <w:rsid w:val="00E95CDD"/>
    <w:rsid w:val="00E967B0"/>
    <w:rsid w:val="00E97076"/>
    <w:rsid w:val="00E97122"/>
    <w:rsid w:val="00E97A02"/>
    <w:rsid w:val="00E97D70"/>
    <w:rsid w:val="00E97E89"/>
    <w:rsid w:val="00EA084A"/>
    <w:rsid w:val="00EA3204"/>
    <w:rsid w:val="00EA3521"/>
    <w:rsid w:val="00EA39AF"/>
    <w:rsid w:val="00EA54E7"/>
    <w:rsid w:val="00EA582E"/>
    <w:rsid w:val="00EA59AA"/>
    <w:rsid w:val="00EA76AC"/>
    <w:rsid w:val="00EB0124"/>
    <w:rsid w:val="00EB0152"/>
    <w:rsid w:val="00EB0436"/>
    <w:rsid w:val="00EB12B0"/>
    <w:rsid w:val="00EB1D53"/>
    <w:rsid w:val="00EB1E4C"/>
    <w:rsid w:val="00EB21B4"/>
    <w:rsid w:val="00EB2AE8"/>
    <w:rsid w:val="00EB2D00"/>
    <w:rsid w:val="00EB2E3C"/>
    <w:rsid w:val="00EB5F9C"/>
    <w:rsid w:val="00EB6590"/>
    <w:rsid w:val="00EB6D60"/>
    <w:rsid w:val="00EB796C"/>
    <w:rsid w:val="00EC05DD"/>
    <w:rsid w:val="00EC09CD"/>
    <w:rsid w:val="00EC1243"/>
    <w:rsid w:val="00EC1C6C"/>
    <w:rsid w:val="00EC1CA2"/>
    <w:rsid w:val="00EC2887"/>
    <w:rsid w:val="00EC43E7"/>
    <w:rsid w:val="00EC4536"/>
    <w:rsid w:val="00EC4DCD"/>
    <w:rsid w:val="00ED1613"/>
    <w:rsid w:val="00ED1DA3"/>
    <w:rsid w:val="00ED1F2E"/>
    <w:rsid w:val="00ED2B58"/>
    <w:rsid w:val="00ED3FD3"/>
    <w:rsid w:val="00ED4078"/>
    <w:rsid w:val="00ED4AEA"/>
    <w:rsid w:val="00ED4FDE"/>
    <w:rsid w:val="00ED5836"/>
    <w:rsid w:val="00ED64CC"/>
    <w:rsid w:val="00ED6A82"/>
    <w:rsid w:val="00ED6E68"/>
    <w:rsid w:val="00ED7535"/>
    <w:rsid w:val="00ED7F7D"/>
    <w:rsid w:val="00EE069D"/>
    <w:rsid w:val="00EE07D1"/>
    <w:rsid w:val="00EE1100"/>
    <w:rsid w:val="00EE13EC"/>
    <w:rsid w:val="00EE1A3B"/>
    <w:rsid w:val="00EE31DE"/>
    <w:rsid w:val="00EE321F"/>
    <w:rsid w:val="00EE3287"/>
    <w:rsid w:val="00EE3531"/>
    <w:rsid w:val="00EE4615"/>
    <w:rsid w:val="00EE5E57"/>
    <w:rsid w:val="00EE6967"/>
    <w:rsid w:val="00EE73B7"/>
    <w:rsid w:val="00EE75F8"/>
    <w:rsid w:val="00EE76B9"/>
    <w:rsid w:val="00EE796F"/>
    <w:rsid w:val="00EF081D"/>
    <w:rsid w:val="00EF08E4"/>
    <w:rsid w:val="00EF2C83"/>
    <w:rsid w:val="00EF2CDE"/>
    <w:rsid w:val="00EF2D8F"/>
    <w:rsid w:val="00EF2DEF"/>
    <w:rsid w:val="00EF3021"/>
    <w:rsid w:val="00EF35AB"/>
    <w:rsid w:val="00EF370A"/>
    <w:rsid w:val="00EF39D1"/>
    <w:rsid w:val="00EF3FB9"/>
    <w:rsid w:val="00EF49B0"/>
    <w:rsid w:val="00EF540E"/>
    <w:rsid w:val="00EF628C"/>
    <w:rsid w:val="00EF6513"/>
    <w:rsid w:val="00EF6B2A"/>
    <w:rsid w:val="00EF7360"/>
    <w:rsid w:val="00EF784B"/>
    <w:rsid w:val="00EF7DD7"/>
    <w:rsid w:val="00F004D3"/>
    <w:rsid w:val="00F00FCE"/>
    <w:rsid w:val="00F01A0C"/>
    <w:rsid w:val="00F01B31"/>
    <w:rsid w:val="00F01D0B"/>
    <w:rsid w:val="00F02018"/>
    <w:rsid w:val="00F0242E"/>
    <w:rsid w:val="00F030CB"/>
    <w:rsid w:val="00F03422"/>
    <w:rsid w:val="00F03B5A"/>
    <w:rsid w:val="00F049FF"/>
    <w:rsid w:val="00F04E3E"/>
    <w:rsid w:val="00F057BB"/>
    <w:rsid w:val="00F0637F"/>
    <w:rsid w:val="00F06954"/>
    <w:rsid w:val="00F07EB6"/>
    <w:rsid w:val="00F105C2"/>
    <w:rsid w:val="00F1224C"/>
    <w:rsid w:val="00F122E2"/>
    <w:rsid w:val="00F1314C"/>
    <w:rsid w:val="00F132AB"/>
    <w:rsid w:val="00F13664"/>
    <w:rsid w:val="00F1441D"/>
    <w:rsid w:val="00F146F1"/>
    <w:rsid w:val="00F14884"/>
    <w:rsid w:val="00F14A5D"/>
    <w:rsid w:val="00F14B2D"/>
    <w:rsid w:val="00F16296"/>
    <w:rsid w:val="00F164B9"/>
    <w:rsid w:val="00F16DAC"/>
    <w:rsid w:val="00F20110"/>
    <w:rsid w:val="00F201A7"/>
    <w:rsid w:val="00F213D4"/>
    <w:rsid w:val="00F21453"/>
    <w:rsid w:val="00F2317E"/>
    <w:rsid w:val="00F240B9"/>
    <w:rsid w:val="00F244AB"/>
    <w:rsid w:val="00F24555"/>
    <w:rsid w:val="00F24E6D"/>
    <w:rsid w:val="00F26654"/>
    <w:rsid w:val="00F26BD8"/>
    <w:rsid w:val="00F274E4"/>
    <w:rsid w:val="00F302BE"/>
    <w:rsid w:val="00F31075"/>
    <w:rsid w:val="00F3294D"/>
    <w:rsid w:val="00F32C0F"/>
    <w:rsid w:val="00F3329E"/>
    <w:rsid w:val="00F3369A"/>
    <w:rsid w:val="00F33B26"/>
    <w:rsid w:val="00F34C4F"/>
    <w:rsid w:val="00F354EE"/>
    <w:rsid w:val="00F371DA"/>
    <w:rsid w:val="00F371FD"/>
    <w:rsid w:val="00F3786E"/>
    <w:rsid w:val="00F37AC2"/>
    <w:rsid w:val="00F37C84"/>
    <w:rsid w:val="00F40BAD"/>
    <w:rsid w:val="00F40F27"/>
    <w:rsid w:val="00F4175A"/>
    <w:rsid w:val="00F4191F"/>
    <w:rsid w:val="00F41C18"/>
    <w:rsid w:val="00F42C05"/>
    <w:rsid w:val="00F43557"/>
    <w:rsid w:val="00F441CF"/>
    <w:rsid w:val="00F44305"/>
    <w:rsid w:val="00F464B0"/>
    <w:rsid w:val="00F46A69"/>
    <w:rsid w:val="00F47222"/>
    <w:rsid w:val="00F478A3"/>
    <w:rsid w:val="00F47931"/>
    <w:rsid w:val="00F47D0A"/>
    <w:rsid w:val="00F47D28"/>
    <w:rsid w:val="00F47EA1"/>
    <w:rsid w:val="00F47F47"/>
    <w:rsid w:val="00F47F5B"/>
    <w:rsid w:val="00F5038B"/>
    <w:rsid w:val="00F509CD"/>
    <w:rsid w:val="00F50B4A"/>
    <w:rsid w:val="00F50C4A"/>
    <w:rsid w:val="00F50D57"/>
    <w:rsid w:val="00F517B3"/>
    <w:rsid w:val="00F522EE"/>
    <w:rsid w:val="00F524E9"/>
    <w:rsid w:val="00F53055"/>
    <w:rsid w:val="00F53259"/>
    <w:rsid w:val="00F543CD"/>
    <w:rsid w:val="00F545D5"/>
    <w:rsid w:val="00F5566D"/>
    <w:rsid w:val="00F558B1"/>
    <w:rsid w:val="00F5594C"/>
    <w:rsid w:val="00F56919"/>
    <w:rsid w:val="00F57027"/>
    <w:rsid w:val="00F61A04"/>
    <w:rsid w:val="00F6253F"/>
    <w:rsid w:val="00F627AA"/>
    <w:rsid w:val="00F631C3"/>
    <w:rsid w:val="00F631F0"/>
    <w:rsid w:val="00F63E04"/>
    <w:rsid w:val="00F63FED"/>
    <w:rsid w:val="00F640F0"/>
    <w:rsid w:val="00F6413B"/>
    <w:rsid w:val="00F645F6"/>
    <w:rsid w:val="00F6474C"/>
    <w:rsid w:val="00F64952"/>
    <w:rsid w:val="00F65A08"/>
    <w:rsid w:val="00F65BBE"/>
    <w:rsid w:val="00F662A2"/>
    <w:rsid w:val="00F665EF"/>
    <w:rsid w:val="00F666B8"/>
    <w:rsid w:val="00F6693F"/>
    <w:rsid w:val="00F669E3"/>
    <w:rsid w:val="00F66A66"/>
    <w:rsid w:val="00F67109"/>
    <w:rsid w:val="00F67618"/>
    <w:rsid w:val="00F6761D"/>
    <w:rsid w:val="00F67AAC"/>
    <w:rsid w:val="00F67CBC"/>
    <w:rsid w:val="00F67F3B"/>
    <w:rsid w:val="00F70163"/>
    <w:rsid w:val="00F70A7E"/>
    <w:rsid w:val="00F71291"/>
    <w:rsid w:val="00F7203E"/>
    <w:rsid w:val="00F7342C"/>
    <w:rsid w:val="00F735D7"/>
    <w:rsid w:val="00F7374C"/>
    <w:rsid w:val="00F74F86"/>
    <w:rsid w:val="00F758ED"/>
    <w:rsid w:val="00F76E01"/>
    <w:rsid w:val="00F8093F"/>
    <w:rsid w:val="00F814ED"/>
    <w:rsid w:val="00F81525"/>
    <w:rsid w:val="00F81828"/>
    <w:rsid w:val="00F824AB"/>
    <w:rsid w:val="00F827CF"/>
    <w:rsid w:val="00F830CF"/>
    <w:rsid w:val="00F83126"/>
    <w:rsid w:val="00F847C2"/>
    <w:rsid w:val="00F84CE3"/>
    <w:rsid w:val="00F84D84"/>
    <w:rsid w:val="00F851C3"/>
    <w:rsid w:val="00F853EC"/>
    <w:rsid w:val="00F8615D"/>
    <w:rsid w:val="00F86352"/>
    <w:rsid w:val="00F907C2"/>
    <w:rsid w:val="00F9096A"/>
    <w:rsid w:val="00F9157C"/>
    <w:rsid w:val="00F91FC7"/>
    <w:rsid w:val="00F92548"/>
    <w:rsid w:val="00F92909"/>
    <w:rsid w:val="00F92F00"/>
    <w:rsid w:val="00F94496"/>
    <w:rsid w:val="00F965DE"/>
    <w:rsid w:val="00F96EAD"/>
    <w:rsid w:val="00F975A8"/>
    <w:rsid w:val="00FA01CD"/>
    <w:rsid w:val="00FA067C"/>
    <w:rsid w:val="00FA0719"/>
    <w:rsid w:val="00FA11D9"/>
    <w:rsid w:val="00FA1CD2"/>
    <w:rsid w:val="00FA1D8E"/>
    <w:rsid w:val="00FA233A"/>
    <w:rsid w:val="00FA23DB"/>
    <w:rsid w:val="00FA23E2"/>
    <w:rsid w:val="00FA2ADD"/>
    <w:rsid w:val="00FA3059"/>
    <w:rsid w:val="00FA4004"/>
    <w:rsid w:val="00FA455F"/>
    <w:rsid w:val="00FA4AAB"/>
    <w:rsid w:val="00FA5CC9"/>
    <w:rsid w:val="00FA6136"/>
    <w:rsid w:val="00FA6CB7"/>
    <w:rsid w:val="00FA78A1"/>
    <w:rsid w:val="00FB012C"/>
    <w:rsid w:val="00FB0BDD"/>
    <w:rsid w:val="00FB142B"/>
    <w:rsid w:val="00FB1BAF"/>
    <w:rsid w:val="00FB218F"/>
    <w:rsid w:val="00FB2CC2"/>
    <w:rsid w:val="00FB2E54"/>
    <w:rsid w:val="00FB2ED0"/>
    <w:rsid w:val="00FB2F23"/>
    <w:rsid w:val="00FB383A"/>
    <w:rsid w:val="00FB3B33"/>
    <w:rsid w:val="00FB3D3C"/>
    <w:rsid w:val="00FB439B"/>
    <w:rsid w:val="00FB4790"/>
    <w:rsid w:val="00FB4863"/>
    <w:rsid w:val="00FB65A3"/>
    <w:rsid w:val="00FB6666"/>
    <w:rsid w:val="00FB6F71"/>
    <w:rsid w:val="00FB744D"/>
    <w:rsid w:val="00FB7834"/>
    <w:rsid w:val="00FB7FD2"/>
    <w:rsid w:val="00FC12A3"/>
    <w:rsid w:val="00FC1F0F"/>
    <w:rsid w:val="00FC20DA"/>
    <w:rsid w:val="00FC2262"/>
    <w:rsid w:val="00FC2627"/>
    <w:rsid w:val="00FC27F0"/>
    <w:rsid w:val="00FC2C3B"/>
    <w:rsid w:val="00FC4164"/>
    <w:rsid w:val="00FC475D"/>
    <w:rsid w:val="00FC4A74"/>
    <w:rsid w:val="00FC50A0"/>
    <w:rsid w:val="00FC550E"/>
    <w:rsid w:val="00FC6B36"/>
    <w:rsid w:val="00FC6D90"/>
    <w:rsid w:val="00FC6EE8"/>
    <w:rsid w:val="00FC7923"/>
    <w:rsid w:val="00FD0CC3"/>
    <w:rsid w:val="00FD2102"/>
    <w:rsid w:val="00FD2A15"/>
    <w:rsid w:val="00FD3429"/>
    <w:rsid w:val="00FD374E"/>
    <w:rsid w:val="00FD39D8"/>
    <w:rsid w:val="00FD3A6B"/>
    <w:rsid w:val="00FD4294"/>
    <w:rsid w:val="00FD5151"/>
    <w:rsid w:val="00FD5EED"/>
    <w:rsid w:val="00FD6675"/>
    <w:rsid w:val="00FD73C4"/>
    <w:rsid w:val="00FE030B"/>
    <w:rsid w:val="00FE069A"/>
    <w:rsid w:val="00FE1591"/>
    <w:rsid w:val="00FE2D48"/>
    <w:rsid w:val="00FE36D8"/>
    <w:rsid w:val="00FE393C"/>
    <w:rsid w:val="00FE4401"/>
    <w:rsid w:val="00FE5A26"/>
    <w:rsid w:val="00FE5B5A"/>
    <w:rsid w:val="00FE6112"/>
    <w:rsid w:val="00FE7400"/>
    <w:rsid w:val="00FF06B9"/>
    <w:rsid w:val="00FF0D79"/>
    <w:rsid w:val="00FF1390"/>
    <w:rsid w:val="00FF177B"/>
    <w:rsid w:val="00FF1961"/>
    <w:rsid w:val="00FF2098"/>
    <w:rsid w:val="00FF26DD"/>
    <w:rsid w:val="00FF2DDD"/>
    <w:rsid w:val="00FF2DDE"/>
    <w:rsid w:val="00FF31BA"/>
    <w:rsid w:val="00FF3210"/>
    <w:rsid w:val="00FF3C6E"/>
    <w:rsid w:val="00FF4066"/>
    <w:rsid w:val="00FF4576"/>
    <w:rsid w:val="00FF4743"/>
    <w:rsid w:val="00FF4AA5"/>
    <w:rsid w:val="00FF56AA"/>
    <w:rsid w:val="00FF580E"/>
    <w:rsid w:val="00FF6009"/>
    <w:rsid w:val="00FF6C3D"/>
    <w:rsid w:val="00FF7C2E"/>
    <w:rsid w:val="0178336F"/>
    <w:rsid w:val="01FB1637"/>
    <w:rsid w:val="05AA232B"/>
    <w:rsid w:val="07D05095"/>
    <w:rsid w:val="07F36C34"/>
    <w:rsid w:val="07F62310"/>
    <w:rsid w:val="09BD1A01"/>
    <w:rsid w:val="0C732EB6"/>
    <w:rsid w:val="0D3E5186"/>
    <w:rsid w:val="0E9D05E5"/>
    <w:rsid w:val="0EB848F3"/>
    <w:rsid w:val="0F366308"/>
    <w:rsid w:val="10E108DF"/>
    <w:rsid w:val="11004AEF"/>
    <w:rsid w:val="126142EE"/>
    <w:rsid w:val="12D402B1"/>
    <w:rsid w:val="1367504A"/>
    <w:rsid w:val="13ED1C6D"/>
    <w:rsid w:val="151337E3"/>
    <w:rsid w:val="16EA5973"/>
    <w:rsid w:val="17A371AB"/>
    <w:rsid w:val="181F3FCA"/>
    <w:rsid w:val="18712DE0"/>
    <w:rsid w:val="187342A6"/>
    <w:rsid w:val="199E00D6"/>
    <w:rsid w:val="1B3F7534"/>
    <w:rsid w:val="1B666D93"/>
    <w:rsid w:val="1C61503C"/>
    <w:rsid w:val="1CB328EB"/>
    <w:rsid w:val="1D453104"/>
    <w:rsid w:val="1DDF1703"/>
    <w:rsid w:val="1F0259C7"/>
    <w:rsid w:val="204B416E"/>
    <w:rsid w:val="20EA5506"/>
    <w:rsid w:val="22C21AEF"/>
    <w:rsid w:val="235A6380"/>
    <w:rsid w:val="236C17EB"/>
    <w:rsid w:val="24342759"/>
    <w:rsid w:val="24A83A4A"/>
    <w:rsid w:val="251315D4"/>
    <w:rsid w:val="257C39D3"/>
    <w:rsid w:val="26B12613"/>
    <w:rsid w:val="27467532"/>
    <w:rsid w:val="282A1433"/>
    <w:rsid w:val="292168ED"/>
    <w:rsid w:val="2C4F1EE4"/>
    <w:rsid w:val="2DE36310"/>
    <w:rsid w:val="2EEE106D"/>
    <w:rsid w:val="2FE86FFE"/>
    <w:rsid w:val="30D737A7"/>
    <w:rsid w:val="31627005"/>
    <w:rsid w:val="31906C4A"/>
    <w:rsid w:val="338B2435"/>
    <w:rsid w:val="3438695A"/>
    <w:rsid w:val="35155A09"/>
    <w:rsid w:val="35EA1004"/>
    <w:rsid w:val="36496CCA"/>
    <w:rsid w:val="36556C69"/>
    <w:rsid w:val="36E13C07"/>
    <w:rsid w:val="372832AE"/>
    <w:rsid w:val="37375423"/>
    <w:rsid w:val="37B11EA4"/>
    <w:rsid w:val="396F6788"/>
    <w:rsid w:val="3C26748E"/>
    <w:rsid w:val="3C831993"/>
    <w:rsid w:val="3D962708"/>
    <w:rsid w:val="3DCA30DC"/>
    <w:rsid w:val="3FD63A66"/>
    <w:rsid w:val="404D0DEE"/>
    <w:rsid w:val="40F407BF"/>
    <w:rsid w:val="41840F7D"/>
    <w:rsid w:val="427E5D77"/>
    <w:rsid w:val="42943A8A"/>
    <w:rsid w:val="42C62F81"/>
    <w:rsid w:val="45C020BF"/>
    <w:rsid w:val="45EA47ED"/>
    <w:rsid w:val="460C1224"/>
    <w:rsid w:val="47AA0645"/>
    <w:rsid w:val="47CF62B3"/>
    <w:rsid w:val="482D09D2"/>
    <w:rsid w:val="48827891"/>
    <w:rsid w:val="48D6483F"/>
    <w:rsid w:val="4C190B4D"/>
    <w:rsid w:val="4D6231A6"/>
    <w:rsid w:val="4D636E05"/>
    <w:rsid w:val="4DCE35C2"/>
    <w:rsid w:val="4EF44801"/>
    <w:rsid w:val="505E20C5"/>
    <w:rsid w:val="50FF3B14"/>
    <w:rsid w:val="515B2365"/>
    <w:rsid w:val="51FB214F"/>
    <w:rsid w:val="52494487"/>
    <w:rsid w:val="53AA7164"/>
    <w:rsid w:val="54137A0C"/>
    <w:rsid w:val="546030A9"/>
    <w:rsid w:val="54E83649"/>
    <w:rsid w:val="555607C9"/>
    <w:rsid w:val="56B92879"/>
    <w:rsid w:val="572E0E06"/>
    <w:rsid w:val="57477862"/>
    <w:rsid w:val="58C26091"/>
    <w:rsid w:val="596B0CD2"/>
    <w:rsid w:val="59991DB6"/>
    <w:rsid w:val="59F60541"/>
    <w:rsid w:val="5A244BD8"/>
    <w:rsid w:val="5A4253A6"/>
    <w:rsid w:val="5A736AC4"/>
    <w:rsid w:val="5AAA498B"/>
    <w:rsid w:val="5B305DD4"/>
    <w:rsid w:val="5B4B543F"/>
    <w:rsid w:val="5B68003A"/>
    <w:rsid w:val="5CEF1951"/>
    <w:rsid w:val="5D26510B"/>
    <w:rsid w:val="5D5B552E"/>
    <w:rsid w:val="5E2C7E9F"/>
    <w:rsid w:val="5F840EA5"/>
    <w:rsid w:val="62144EA0"/>
    <w:rsid w:val="62A665C3"/>
    <w:rsid w:val="655E692F"/>
    <w:rsid w:val="657655CC"/>
    <w:rsid w:val="659436A9"/>
    <w:rsid w:val="65B42781"/>
    <w:rsid w:val="66D8354A"/>
    <w:rsid w:val="66F637DF"/>
    <w:rsid w:val="671B4F4E"/>
    <w:rsid w:val="67726469"/>
    <w:rsid w:val="691168E5"/>
    <w:rsid w:val="69C63571"/>
    <w:rsid w:val="6A382C92"/>
    <w:rsid w:val="6C544AB5"/>
    <w:rsid w:val="6C927AA5"/>
    <w:rsid w:val="6D962A9C"/>
    <w:rsid w:val="6EBF37E1"/>
    <w:rsid w:val="6F657DF4"/>
    <w:rsid w:val="6F9F148F"/>
    <w:rsid w:val="702D3063"/>
    <w:rsid w:val="70C1642A"/>
    <w:rsid w:val="710B2D02"/>
    <w:rsid w:val="7157288C"/>
    <w:rsid w:val="72910C92"/>
    <w:rsid w:val="72CC1E4E"/>
    <w:rsid w:val="73903700"/>
    <w:rsid w:val="73A51EBB"/>
    <w:rsid w:val="74AC6B68"/>
    <w:rsid w:val="75AF136D"/>
    <w:rsid w:val="75D671E3"/>
    <w:rsid w:val="76523857"/>
    <w:rsid w:val="778E0D00"/>
    <w:rsid w:val="783014DC"/>
    <w:rsid w:val="78E5084D"/>
    <w:rsid w:val="79717657"/>
    <w:rsid w:val="798B2A6F"/>
    <w:rsid w:val="799929C5"/>
    <w:rsid w:val="7A382AD6"/>
    <w:rsid w:val="7C0E2DE3"/>
    <w:rsid w:val="7C493160"/>
    <w:rsid w:val="7C684FEF"/>
    <w:rsid w:val="7CBB7A6A"/>
    <w:rsid w:val="7D8A1B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dashstyle="dash" endarrow="block"/>
    </o:shapedefaults>
    <o:shapelayout v:ext="edit">
      <o:idmap v:ext="edit" data="1,3,4,5,6"/>
      <o:rules v:ext="edit">
        <o:r id="V:Rule1" type="connector" idref="#自选图形 301"/>
        <o:r id="V:Rule2" type="connector" idref="#自选图形 272"/>
        <o:r id="V:Rule3" type="connector" idref="#自选图形 301"/>
        <o:r id="V:Rule4" type="connector" idref="#自选图形 301"/>
        <o:r id="V:Rule5" type="connector" idref="#自选图形 2307"/>
        <o:r id="V:Rule6" type="connector" idref="#自选图形 230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qFormat="1" w:unhideWhenUsed="0"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pageBreakBefore/>
      <w:spacing w:line="360" w:lineRule="auto"/>
      <w:outlineLvl w:val="0"/>
    </w:pPr>
    <w:rPr>
      <w:rFonts w:eastAsia="黑体"/>
      <w:b/>
      <w:bCs/>
      <w:kern w:val="44"/>
      <w:sz w:val="28"/>
      <w:szCs w:val="44"/>
    </w:rPr>
  </w:style>
  <w:style w:type="paragraph" w:styleId="4">
    <w:name w:val="heading 2"/>
    <w:basedOn w:val="1"/>
    <w:next w:val="1"/>
    <w:qFormat/>
    <w:uiPriority w:val="0"/>
    <w:pPr>
      <w:keepNext/>
      <w:keepLines/>
      <w:spacing w:before="260" w:after="260" w:line="416" w:lineRule="auto"/>
      <w:outlineLvl w:val="1"/>
    </w:pPr>
    <w:rPr>
      <w:rFonts w:eastAsia="仿宋_GB2312"/>
      <w:b/>
      <w:bCs/>
      <w:sz w:val="28"/>
      <w:szCs w:val="32"/>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qFormat/>
    <w:uiPriority w:val="0"/>
    <w:pPr>
      <w:keepNext/>
      <w:keepLines/>
      <w:spacing w:before="240" w:after="64" w:line="320" w:lineRule="auto"/>
      <w:outlineLvl w:val="6"/>
    </w:pPr>
    <w:rPr>
      <w:b/>
      <w:bCs/>
      <w:sz w:val="24"/>
      <w:szCs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szCs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6">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133"/>
    <w:qFormat/>
    <w:uiPriority w:val="99"/>
    <w:pPr>
      <w:ind w:firstLine="200" w:firstLineChars="200"/>
    </w:pPr>
    <w:rPr>
      <w:sz w:val="28"/>
      <w:szCs w:val="24"/>
    </w:rPr>
  </w:style>
  <w:style w:type="paragraph" w:styleId="12">
    <w:name w:val="caption"/>
    <w:next w:val="1"/>
    <w:qFormat/>
    <w:uiPriority w:val="35"/>
    <w:pPr>
      <w:spacing w:line="360" w:lineRule="auto"/>
      <w:jc w:val="center"/>
    </w:pPr>
    <w:rPr>
      <w:rFonts w:ascii="Times New Roman" w:hAnsi="Times New Roman" w:eastAsia="仿宋_GB2312" w:cs="Arial"/>
      <w:b/>
      <w:sz w:val="24"/>
      <w:szCs w:val="21"/>
      <w:lang w:val="en-US" w:eastAsia="zh-CN" w:bidi="ar-SA"/>
    </w:rPr>
  </w:style>
  <w:style w:type="paragraph" w:styleId="13">
    <w:name w:val="Document Map"/>
    <w:basedOn w:val="1"/>
    <w:semiHidden/>
    <w:qFormat/>
    <w:uiPriority w:val="0"/>
    <w:pPr>
      <w:shd w:val="clear" w:color="auto" w:fill="000080"/>
    </w:pPr>
  </w:style>
  <w:style w:type="paragraph" w:styleId="14">
    <w:name w:val="annotation text"/>
    <w:basedOn w:val="1"/>
    <w:link w:val="135"/>
    <w:qFormat/>
    <w:uiPriority w:val="0"/>
    <w:pPr>
      <w:jc w:val="left"/>
    </w:pPr>
  </w:style>
  <w:style w:type="paragraph" w:styleId="15">
    <w:name w:val="Body Text 3"/>
    <w:basedOn w:val="1"/>
    <w:qFormat/>
    <w:uiPriority w:val="0"/>
    <w:rPr>
      <w:rFonts w:ascii="宋体"/>
    </w:rPr>
  </w:style>
  <w:style w:type="paragraph" w:styleId="16">
    <w:name w:val="Body Text"/>
    <w:basedOn w:val="1"/>
    <w:qFormat/>
    <w:uiPriority w:val="0"/>
    <w:pPr>
      <w:spacing w:line="240" w:lineRule="atLeast"/>
      <w:ind w:right="-154"/>
    </w:pPr>
    <w:rPr>
      <w:rFonts w:ascii="宋体"/>
      <w:sz w:val="24"/>
    </w:rPr>
  </w:style>
  <w:style w:type="paragraph" w:styleId="17">
    <w:name w:val="Body Text Indent"/>
    <w:basedOn w:val="1"/>
    <w:link w:val="72"/>
    <w:qFormat/>
    <w:uiPriority w:val="0"/>
    <w:pPr>
      <w:spacing w:line="360" w:lineRule="auto"/>
      <w:ind w:firstLine="480"/>
    </w:pPr>
    <w:rPr>
      <w:sz w:val="24"/>
    </w:rPr>
  </w:style>
  <w:style w:type="paragraph" w:styleId="18">
    <w:name w:val="Block Text"/>
    <w:basedOn w:val="1"/>
    <w:qFormat/>
    <w:uiPriority w:val="0"/>
    <w:pPr>
      <w:spacing w:after="120"/>
      <w:ind w:left="1440" w:leftChars="700" w:right="1440" w:rightChars="700"/>
    </w:pPr>
    <w:rPr>
      <w:rFonts w:ascii="ISOCTEUR" w:hAnsi="ISOCTEUR" w:cs="ISOCTEUR"/>
    </w:rPr>
  </w:style>
  <w:style w:type="paragraph" w:styleId="19">
    <w:name w:val="Plain Text"/>
    <w:basedOn w:val="1"/>
    <w:link w:val="51"/>
    <w:qFormat/>
    <w:uiPriority w:val="0"/>
    <w:rPr>
      <w:rFonts w:ascii="宋体" w:hAnsi="Courier New"/>
    </w:rPr>
  </w:style>
  <w:style w:type="paragraph" w:styleId="20">
    <w:name w:val="Body Text Indent 2"/>
    <w:basedOn w:val="1"/>
    <w:qFormat/>
    <w:uiPriority w:val="0"/>
    <w:pPr>
      <w:spacing w:line="360" w:lineRule="auto"/>
      <w:ind w:firstLine="480" w:firstLineChars="200"/>
    </w:pPr>
    <w:rPr>
      <w:color w:val="000000"/>
      <w:sz w:val="24"/>
    </w:rPr>
  </w:style>
  <w:style w:type="paragraph" w:styleId="21">
    <w:name w:val="Balloon Text"/>
    <w:basedOn w:val="1"/>
    <w:semiHidden/>
    <w:qFormat/>
    <w:uiPriority w:val="0"/>
    <w:rPr>
      <w:sz w:val="18"/>
      <w:szCs w:val="18"/>
    </w:rPr>
  </w:style>
  <w:style w:type="paragraph" w:styleId="22">
    <w:name w:val="footer"/>
    <w:basedOn w:val="1"/>
    <w:qFormat/>
    <w:uiPriority w:val="0"/>
    <w:pPr>
      <w:tabs>
        <w:tab w:val="center" w:pos="4153"/>
        <w:tab w:val="right" w:pos="8306"/>
      </w:tabs>
      <w:snapToGrid w:val="0"/>
      <w:jc w:val="left"/>
    </w:pPr>
    <w:rPr>
      <w:sz w:val="18"/>
      <w:szCs w:val="18"/>
    </w:rPr>
  </w:style>
  <w:style w:type="paragraph" w:styleId="23">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left" w:pos="420"/>
        <w:tab w:val="right" w:leader="dot" w:pos="8303"/>
      </w:tabs>
    </w:pPr>
    <w:rPr>
      <w:rFonts w:ascii="仿宋_GB2312" w:hAnsi="Arial Black" w:eastAsia="仿宋_GB2312"/>
      <w:sz w:val="28"/>
    </w:rPr>
  </w:style>
  <w:style w:type="paragraph" w:styleId="25">
    <w:name w:val="List"/>
    <w:basedOn w:val="1"/>
    <w:qFormat/>
    <w:uiPriority w:val="0"/>
    <w:pPr>
      <w:spacing w:line="360" w:lineRule="exact"/>
      <w:jc w:val="center"/>
    </w:pPr>
    <w:rPr>
      <w:rFonts w:ascii="仿宋_GB2312" w:eastAsia="仿宋_GB2312"/>
      <w:sz w:val="28"/>
    </w:rPr>
  </w:style>
  <w:style w:type="paragraph" w:styleId="26">
    <w:name w:val="Body Text Indent 3"/>
    <w:basedOn w:val="1"/>
    <w:qFormat/>
    <w:uiPriority w:val="0"/>
    <w:pPr>
      <w:tabs>
        <w:tab w:val="left" w:pos="604"/>
      </w:tabs>
      <w:spacing w:line="360" w:lineRule="auto"/>
      <w:ind w:firstLine="600"/>
    </w:pPr>
    <w:rPr>
      <w:sz w:val="24"/>
      <w:szCs w:val="24"/>
    </w:rPr>
  </w:style>
  <w:style w:type="paragraph" w:styleId="27">
    <w:name w:val="table of figures"/>
    <w:basedOn w:val="1"/>
    <w:next w:val="1"/>
    <w:semiHidden/>
    <w:qFormat/>
    <w:uiPriority w:val="0"/>
    <w:pPr>
      <w:ind w:left="200" w:leftChars="200" w:hanging="200" w:hangingChars="200"/>
    </w:pPr>
  </w:style>
  <w:style w:type="paragraph" w:styleId="28">
    <w:name w:val="Body Text 2"/>
    <w:basedOn w:val="1"/>
    <w:qFormat/>
    <w:uiPriority w:val="0"/>
    <w:rPr>
      <w:b/>
      <w:bCs/>
      <w:sz w:val="24"/>
    </w:rPr>
  </w:style>
  <w:style w:type="paragraph" w:styleId="29">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30">
    <w:name w:val="Title"/>
    <w:basedOn w:val="1"/>
    <w:qFormat/>
    <w:uiPriority w:val="0"/>
    <w:pPr>
      <w:adjustRightInd w:val="0"/>
      <w:snapToGrid w:val="0"/>
      <w:spacing w:before="240" w:after="240" w:line="300" w:lineRule="auto"/>
      <w:jc w:val="left"/>
      <w:outlineLvl w:val="0"/>
    </w:pPr>
    <w:rPr>
      <w:rFonts w:ascii="仿宋_GB2312" w:hAnsi="Arial" w:eastAsia="仿宋_GB2312" w:cs="Arial"/>
      <w:b/>
      <w:bCs/>
      <w:sz w:val="32"/>
      <w:szCs w:val="32"/>
    </w:rPr>
  </w:style>
  <w:style w:type="paragraph" w:styleId="31">
    <w:name w:val="annotation subject"/>
    <w:basedOn w:val="14"/>
    <w:next w:val="14"/>
    <w:semiHidden/>
    <w:qFormat/>
    <w:uiPriority w:val="0"/>
    <w:rPr>
      <w:b/>
      <w:bCs/>
    </w:rPr>
  </w:style>
  <w:style w:type="paragraph" w:styleId="32">
    <w:name w:val="Body Text First Indent"/>
    <w:basedOn w:val="16"/>
    <w:link w:val="65"/>
    <w:qFormat/>
    <w:uiPriority w:val="0"/>
    <w:pPr>
      <w:spacing w:after="120" w:line="240" w:lineRule="auto"/>
      <w:ind w:right="0" w:firstLine="420" w:firstLineChars="100"/>
    </w:pPr>
    <w:rPr>
      <w:rFonts w:ascii="Times New Roman"/>
      <w:sz w:val="21"/>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5">
    <w:name w:val="Table Theme"/>
    <w:basedOn w:val="33"/>
    <w:qFormat/>
    <w:uiPriority w:val="0"/>
    <w:pPr>
      <w:widowControl w:val="0"/>
      <w:jc w:val="center"/>
    </w:pPr>
    <w:rPr>
      <w:rFonts w:ascii="ISOCTEUR" w:hAnsi="ISOCTEUR" w:cs="ISOCTEUR"/>
      <w:sz w:val="21"/>
    </w:rPr>
    <w:tblPr>
      <w:tblBorders>
        <w:top w:val="single" w:color="auto" w:sz="12"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
    <w:tcPr>
      <w:vAlign w:val="center"/>
    </w:tcPr>
  </w:style>
  <w:style w:type="character" w:styleId="37">
    <w:name w:val="Strong"/>
    <w:qFormat/>
    <w:uiPriority w:val="0"/>
    <w:rPr>
      <w:b/>
      <w:bCs/>
    </w:rPr>
  </w:style>
  <w:style w:type="character" w:styleId="38">
    <w:name w:val="page number"/>
    <w:basedOn w:val="36"/>
    <w:qFormat/>
    <w:uiPriority w:val="0"/>
  </w:style>
  <w:style w:type="character" w:styleId="39">
    <w:name w:val="Hyperlink"/>
    <w:qFormat/>
    <w:uiPriority w:val="0"/>
    <w:rPr>
      <w:color w:val="3366CC"/>
      <w:u w:val="single"/>
    </w:rPr>
  </w:style>
  <w:style w:type="character" w:styleId="40">
    <w:name w:val="annotation reference"/>
    <w:semiHidden/>
    <w:qFormat/>
    <w:uiPriority w:val="0"/>
    <w:rPr>
      <w:sz w:val="21"/>
      <w:szCs w:val="21"/>
    </w:rPr>
  </w:style>
  <w:style w:type="paragraph" w:customStyle="1" w:styleId="41">
    <w:name w:val="表头"/>
    <w:basedOn w:val="27"/>
    <w:link w:val="128"/>
    <w:qFormat/>
    <w:uiPriority w:val="0"/>
    <w:pPr>
      <w:autoSpaceDE w:val="0"/>
      <w:autoSpaceDN w:val="0"/>
      <w:adjustRightInd w:val="0"/>
      <w:snapToGrid w:val="0"/>
      <w:spacing w:beforeLines="50" w:line="360" w:lineRule="auto"/>
      <w:jc w:val="center"/>
      <w:textAlignment w:val="baseline"/>
    </w:pPr>
    <w:rPr>
      <w:b/>
      <w:kern w:val="0"/>
      <w:sz w:val="24"/>
    </w:rPr>
  </w:style>
  <w:style w:type="character" w:customStyle="1" w:styleId="42">
    <w:name w:val="表格 Char"/>
    <w:link w:val="43"/>
    <w:qFormat/>
    <w:uiPriority w:val="0"/>
    <w:rPr>
      <w:rFonts w:eastAsia="宋体"/>
      <w:sz w:val="21"/>
      <w:szCs w:val="21"/>
      <w:lang w:val="en-US" w:eastAsia="zh-CN" w:bidi="ar-SA"/>
    </w:rPr>
  </w:style>
  <w:style w:type="paragraph" w:customStyle="1" w:styleId="43">
    <w:name w:val="表格"/>
    <w:basedOn w:val="25"/>
    <w:link w:val="42"/>
    <w:qFormat/>
    <w:uiPriority w:val="0"/>
    <w:pPr>
      <w:autoSpaceDE w:val="0"/>
      <w:autoSpaceDN w:val="0"/>
      <w:spacing w:line="240" w:lineRule="auto"/>
      <w:textAlignment w:val="baseline"/>
    </w:pPr>
    <w:rPr>
      <w:rFonts w:ascii="Times New Roman" w:eastAsia="宋体"/>
      <w:kern w:val="0"/>
      <w:sz w:val="21"/>
      <w:szCs w:val="21"/>
    </w:rPr>
  </w:style>
  <w:style w:type="character" w:customStyle="1" w:styleId="44">
    <w:name w:val="未命名11"/>
    <w:qFormat/>
    <w:uiPriority w:val="0"/>
    <w:rPr>
      <w:rFonts w:hint="eastAsia" w:ascii="宋体" w:hAnsi="宋体" w:eastAsia="宋体"/>
      <w:sz w:val="18"/>
      <w:szCs w:val="18"/>
    </w:rPr>
  </w:style>
  <w:style w:type="character" w:customStyle="1" w:styleId="45">
    <w:name w:val="style10"/>
    <w:basedOn w:val="36"/>
    <w:qFormat/>
    <w:uiPriority w:val="0"/>
  </w:style>
  <w:style w:type="character" w:customStyle="1" w:styleId="46">
    <w:name w:val="表格文字 Char"/>
    <w:link w:val="47"/>
    <w:qFormat/>
    <w:uiPriority w:val="0"/>
    <w:rPr>
      <w:rFonts w:ascii="仿宋_GB2312" w:hAnsi="Arial Black" w:eastAsia="仿宋_GB2312"/>
      <w:kern w:val="44"/>
      <w:sz w:val="24"/>
    </w:rPr>
  </w:style>
  <w:style w:type="paragraph" w:customStyle="1" w:styleId="47">
    <w:name w:val="表格文字"/>
    <w:basedOn w:val="1"/>
    <w:link w:val="46"/>
    <w:qFormat/>
    <w:uiPriority w:val="0"/>
    <w:pPr>
      <w:adjustRightInd w:val="0"/>
      <w:snapToGrid w:val="0"/>
      <w:spacing w:line="300" w:lineRule="auto"/>
      <w:jc w:val="center"/>
    </w:pPr>
    <w:rPr>
      <w:rFonts w:ascii="仿宋_GB2312" w:hAnsi="Arial Black" w:eastAsia="仿宋_GB2312"/>
      <w:kern w:val="44"/>
      <w:sz w:val="24"/>
    </w:rPr>
  </w:style>
  <w:style w:type="character" w:customStyle="1" w:styleId="48">
    <w:name w:val="表格文字2 Char"/>
    <w:link w:val="49"/>
    <w:qFormat/>
    <w:uiPriority w:val="0"/>
    <w:rPr>
      <w:rFonts w:eastAsia="宋体"/>
      <w:sz w:val="21"/>
      <w:szCs w:val="21"/>
      <w:lang w:val="en-US" w:eastAsia="zh-CN" w:bidi="ar-SA"/>
    </w:rPr>
  </w:style>
  <w:style w:type="paragraph" w:customStyle="1" w:styleId="49">
    <w:name w:val="表格文字2"/>
    <w:basedOn w:val="1"/>
    <w:link w:val="48"/>
    <w:qFormat/>
    <w:uiPriority w:val="0"/>
    <w:pPr>
      <w:tabs>
        <w:tab w:val="left" w:pos="277"/>
        <w:tab w:val="left" w:pos="600"/>
        <w:tab w:val="left" w:pos="780"/>
        <w:tab w:val="left" w:pos="2517"/>
      </w:tabs>
      <w:adjustRightInd w:val="0"/>
      <w:spacing w:before="60"/>
      <w:jc w:val="center"/>
      <w:textAlignment w:val="baseline"/>
    </w:pPr>
    <w:rPr>
      <w:kern w:val="0"/>
      <w:szCs w:val="21"/>
    </w:rPr>
  </w:style>
  <w:style w:type="character" w:customStyle="1" w:styleId="50">
    <w:name w:val="页眉 Char"/>
    <w:link w:val="23"/>
    <w:qFormat/>
    <w:uiPriority w:val="0"/>
    <w:rPr>
      <w:rFonts w:eastAsia="宋体"/>
      <w:kern w:val="2"/>
      <w:sz w:val="18"/>
      <w:szCs w:val="18"/>
      <w:lang w:val="en-US" w:eastAsia="zh-CN" w:bidi="ar-SA"/>
    </w:rPr>
  </w:style>
  <w:style w:type="character" w:customStyle="1" w:styleId="51">
    <w:name w:val="纯文本 Char"/>
    <w:link w:val="19"/>
    <w:qFormat/>
    <w:uiPriority w:val="0"/>
    <w:rPr>
      <w:rFonts w:ascii="宋体" w:hAnsi="Courier New" w:eastAsia="宋体"/>
      <w:kern w:val="2"/>
      <w:sz w:val="21"/>
      <w:lang w:val="en-US" w:eastAsia="zh-CN" w:bidi="ar-SA"/>
    </w:rPr>
  </w:style>
  <w:style w:type="character" w:customStyle="1" w:styleId="52">
    <w:name w:val="表中文字 Char"/>
    <w:link w:val="53"/>
    <w:qFormat/>
    <w:uiPriority w:val="0"/>
    <w:rPr>
      <w:rFonts w:ascii="仿宋_GB2312" w:hAnsi="Arial Black" w:eastAsia="宋体"/>
      <w:kern w:val="44"/>
      <w:sz w:val="21"/>
      <w:lang w:val="en-US" w:eastAsia="zh-CN" w:bidi="ar-SA"/>
    </w:rPr>
  </w:style>
  <w:style w:type="paragraph" w:customStyle="1" w:styleId="53">
    <w:name w:val="表中文字"/>
    <w:basedOn w:val="47"/>
    <w:link w:val="52"/>
    <w:qFormat/>
    <w:uiPriority w:val="0"/>
    <w:pPr>
      <w:adjustRightInd/>
      <w:snapToGrid/>
      <w:spacing w:line="240" w:lineRule="auto"/>
    </w:pPr>
    <w:rPr>
      <w:rFonts w:eastAsia="宋体"/>
      <w:sz w:val="21"/>
    </w:rPr>
  </w:style>
  <w:style w:type="character" w:customStyle="1" w:styleId="54">
    <w:name w:val="样式 表格 + 黑色 Char"/>
    <w:link w:val="55"/>
    <w:qFormat/>
    <w:uiPriority w:val="0"/>
    <w:rPr>
      <w:snapToGrid w:val="0"/>
      <w:color w:val="000000"/>
      <w:spacing w:val="-4"/>
      <w:sz w:val="21"/>
      <w:szCs w:val="21"/>
    </w:rPr>
  </w:style>
  <w:style w:type="paragraph" w:customStyle="1" w:styleId="55">
    <w:name w:val="样式 表格 + 黑色"/>
    <w:basedOn w:val="1"/>
    <w:link w:val="54"/>
    <w:qFormat/>
    <w:uiPriority w:val="0"/>
    <w:pPr>
      <w:adjustRightInd w:val="0"/>
      <w:snapToGrid w:val="0"/>
      <w:jc w:val="center"/>
    </w:pPr>
    <w:rPr>
      <w:snapToGrid w:val="0"/>
      <w:color w:val="000000"/>
      <w:spacing w:val="-4"/>
      <w:kern w:val="0"/>
      <w:szCs w:val="21"/>
    </w:rPr>
  </w:style>
  <w:style w:type="character" w:customStyle="1" w:styleId="56">
    <w:name w:val="text_new"/>
    <w:basedOn w:val="36"/>
    <w:qFormat/>
    <w:uiPriority w:val="0"/>
  </w:style>
  <w:style w:type="character" w:customStyle="1" w:styleId="57">
    <w:name w:val="文本 Char1"/>
    <w:qFormat/>
    <w:uiPriority w:val="0"/>
    <w:rPr>
      <w:rFonts w:eastAsia="宋体"/>
      <w:kern w:val="2"/>
      <w:sz w:val="24"/>
      <w:szCs w:val="24"/>
      <w:lang w:val="en-US" w:eastAsia="zh-CN" w:bidi="ar-SA"/>
    </w:rPr>
  </w:style>
  <w:style w:type="character" w:customStyle="1" w:styleId="58">
    <w:name w:val="Char Char1"/>
    <w:qFormat/>
    <w:uiPriority w:val="0"/>
    <w:rPr>
      <w:rFonts w:eastAsia="宋体"/>
      <w:kern w:val="2"/>
      <w:sz w:val="21"/>
      <w:lang w:val="en-US" w:eastAsia="zh-CN" w:bidi="ar-SA"/>
    </w:rPr>
  </w:style>
  <w:style w:type="character" w:customStyle="1" w:styleId="59">
    <w:name w:val="bt21"/>
    <w:qFormat/>
    <w:uiPriority w:val="0"/>
    <w:rPr>
      <w:rFonts w:hint="eastAsia" w:ascii="黑体" w:eastAsia="黑体"/>
      <w:spacing w:val="400"/>
      <w:sz w:val="24"/>
      <w:szCs w:val="24"/>
    </w:rPr>
  </w:style>
  <w:style w:type="character" w:customStyle="1" w:styleId="60">
    <w:name w:val="样式 文字 + 首行缩进:  2 字符3 Char"/>
    <w:link w:val="61"/>
    <w:qFormat/>
    <w:uiPriority w:val="0"/>
    <w:rPr>
      <w:rFonts w:eastAsia="仿宋_GB2312" w:cs="宋体"/>
      <w:kern w:val="2"/>
      <w:sz w:val="28"/>
      <w:szCs w:val="28"/>
      <w:lang w:val="en-US" w:eastAsia="zh-CN" w:bidi="ar-SA"/>
    </w:rPr>
  </w:style>
  <w:style w:type="paragraph" w:customStyle="1" w:styleId="61">
    <w:name w:val="样式 文字 + 首行缩进:  2 字符3"/>
    <w:basedOn w:val="62"/>
    <w:link w:val="60"/>
    <w:qFormat/>
    <w:uiPriority w:val="0"/>
    <w:pPr>
      <w:jc w:val="left"/>
    </w:pPr>
    <w:rPr>
      <w:rFonts w:eastAsia="仿宋_GB2312" w:cs="宋体"/>
      <w:sz w:val="28"/>
      <w:szCs w:val="28"/>
    </w:rPr>
  </w:style>
  <w:style w:type="paragraph" w:customStyle="1" w:styleId="62">
    <w:name w:val="文字"/>
    <w:basedOn w:val="1"/>
    <w:link w:val="66"/>
    <w:qFormat/>
    <w:uiPriority w:val="0"/>
    <w:pPr>
      <w:spacing w:line="360" w:lineRule="auto"/>
      <w:ind w:firstLine="200" w:firstLineChars="200"/>
    </w:pPr>
    <w:rPr>
      <w:sz w:val="24"/>
      <w:szCs w:val="24"/>
    </w:rPr>
  </w:style>
  <w:style w:type="character" w:customStyle="1" w:styleId="63">
    <w:name w:val="谏壁正文chen Char"/>
    <w:link w:val="64"/>
    <w:qFormat/>
    <w:uiPriority w:val="0"/>
    <w:rPr>
      <w:rFonts w:eastAsia="宋体"/>
      <w:kern w:val="2"/>
      <w:sz w:val="24"/>
      <w:szCs w:val="24"/>
      <w:lang w:val="en-US" w:eastAsia="zh-CN" w:bidi="ar-SA"/>
    </w:rPr>
  </w:style>
  <w:style w:type="paragraph" w:customStyle="1" w:styleId="64">
    <w:name w:val="谏壁正文chen"/>
    <w:basedOn w:val="1"/>
    <w:link w:val="63"/>
    <w:qFormat/>
    <w:uiPriority w:val="0"/>
    <w:pPr>
      <w:spacing w:line="360" w:lineRule="auto"/>
      <w:ind w:firstLine="200" w:firstLineChars="200"/>
    </w:pPr>
    <w:rPr>
      <w:sz w:val="24"/>
      <w:szCs w:val="24"/>
    </w:rPr>
  </w:style>
  <w:style w:type="character" w:customStyle="1" w:styleId="65">
    <w:name w:val="正文首行缩进 Char"/>
    <w:link w:val="32"/>
    <w:qFormat/>
    <w:uiPriority w:val="0"/>
    <w:rPr>
      <w:rFonts w:eastAsia="宋体"/>
      <w:kern w:val="2"/>
      <w:sz w:val="21"/>
      <w:lang w:val="en-US" w:eastAsia="zh-CN" w:bidi="ar-SA"/>
    </w:rPr>
  </w:style>
  <w:style w:type="character" w:customStyle="1" w:styleId="66">
    <w:name w:val="文字 Char"/>
    <w:link w:val="62"/>
    <w:qFormat/>
    <w:uiPriority w:val="0"/>
    <w:rPr>
      <w:rFonts w:eastAsia="宋体"/>
      <w:kern w:val="2"/>
      <w:sz w:val="24"/>
      <w:szCs w:val="24"/>
      <w:lang w:val="en-US" w:eastAsia="zh-CN" w:bidi="ar-SA"/>
    </w:rPr>
  </w:style>
  <w:style w:type="character" w:customStyle="1" w:styleId="67">
    <w:name w:val="正文（首行缩进两字） Char1"/>
    <w:qFormat/>
    <w:uiPriority w:val="0"/>
    <w:rPr>
      <w:rFonts w:eastAsia="宋体"/>
      <w:kern w:val="2"/>
      <w:sz w:val="28"/>
      <w:szCs w:val="24"/>
      <w:lang w:val="en-US" w:eastAsia="zh-CN" w:bidi="ar-SA"/>
    </w:rPr>
  </w:style>
  <w:style w:type="character" w:customStyle="1" w:styleId="68">
    <w:name w:val="表格文字 Char Char"/>
    <w:qFormat/>
    <w:uiPriority w:val="0"/>
    <w:rPr>
      <w:rFonts w:ascii="仿宋_GB2312" w:hAnsi="Arial Black" w:eastAsia="仿宋_GB2312"/>
      <w:kern w:val="44"/>
      <w:sz w:val="24"/>
      <w:lang w:val="en-US" w:eastAsia="zh-CN" w:bidi="ar-SA"/>
    </w:rPr>
  </w:style>
  <w:style w:type="character" w:customStyle="1" w:styleId="69">
    <w:name w:val="文字 Char Char"/>
    <w:qFormat/>
    <w:uiPriority w:val="0"/>
    <w:rPr>
      <w:rFonts w:eastAsia="宋体"/>
      <w:kern w:val="2"/>
      <w:sz w:val="24"/>
      <w:szCs w:val="24"/>
      <w:lang w:val="en-US" w:eastAsia="zh-CN" w:bidi="ar-SA"/>
    </w:rPr>
  </w:style>
  <w:style w:type="character" w:customStyle="1" w:styleId="70">
    <w:name w:val="文本 Char"/>
    <w:link w:val="71"/>
    <w:qFormat/>
    <w:uiPriority w:val="0"/>
    <w:rPr>
      <w:rFonts w:eastAsia="宋体"/>
      <w:kern w:val="2"/>
      <w:sz w:val="24"/>
      <w:szCs w:val="24"/>
      <w:lang w:val="en-US" w:eastAsia="zh-CN" w:bidi="ar-SA"/>
    </w:rPr>
  </w:style>
  <w:style w:type="paragraph" w:customStyle="1" w:styleId="71">
    <w:name w:val="文本"/>
    <w:basedOn w:val="1"/>
    <w:link w:val="70"/>
    <w:qFormat/>
    <w:uiPriority w:val="0"/>
    <w:pPr>
      <w:adjustRightInd w:val="0"/>
      <w:snapToGrid w:val="0"/>
      <w:spacing w:line="360" w:lineRule="auto"/>
      <w:ind w:firstLine="200" w:firstLineChars="200"/>
    </w:pPr>
    <w:rPr>
      <w:sz w:val="24"/>
      <w:szCs w:val="24"/>
    </w:rPr>
  </w:style>
  <w:style w:type="character" w:customStyle="1" w:styleId="72">
    <w:name w:val="正文文本缩进 Char"/>
    <w:link w:val="17"/>
    <w:qFormat/>
    <w:uiPriority w:val="0"/>
    <w:rPr>
      <w:kern w:val="2"/>
      <w:sz w:val="24"/>
    </w:rPr>
  </w:style>
  <w:style w:type="character" w:customStyle="1" w:styleId="73">
    <w:name w:val="apple-style-span"/>
    <w:basedOn w:val="36"/>
    <w:qFormat/>
    <w:uiPriority w:val="0"/>
  </w:style>
  <w:style w:type="character" w:customStyle="1" w:styleId="74">
    <w:name w:val="文本 Char Char"/>
    <w:qFormat/>
    <w:uiPriority w:val="0"/>
    <w:rPr>
      <w:rFonts w:eastAsia="宋体"/>
      <w:kern w:val="2"/>
      <w:sz w:val="24"/>
      <w:szCs w:val="24"/>
      <w:lang w:val="en-US" w:eastAsia="zh-CN" w:bidi="ar-SA"/>
    </w:rPr>
  </w:style>
  <w:style w:type="character" w:customStyle="1" w:styleId="75">
    <w:name w:val="正文文字缩进 Char Char"/>
    <w:qFormat/>
    <w:uiPriority w:val="0"/>
    <w:rPr>
      <w:rFonts w:eastAsia="宋体"/>
      <w:kern w:val="2"/>
      <w:sz w:val="24"/>
      <w:lang w:val="en-US" w:eastAsia="zh-CN" w:bidi="ar-SA"/>
    </w:rPr>
  </w:style>
  <w:style w:type="paragraph" w:customStyle="1" w:styleId="76">
    <w:name w:val="标准"/>
    <w:basedOn w:val="1"/>
    <w:qFormat/>
    <w:uiPriority w:val="0"/>
    <w:pPr>
      <w:adjustRightInd w:val="0"/>
      <w:spacing w:line="360" w:lineRule="auto"/>
      <w:textAlignment w:val="baseline"/>
    </w:pPr>
    <w:rPr>
      <w:rFonts w:ascii="宋体"/>
      <w:kern w:val="0"/>
      <w:sz w:val="28"/>
      <w:szCs w:val="28"/>
    </w:rPr>
  </w:style>
  <w:style w:type="paragraph" w:customStyle="1" w:styleId="77">
    <w:name w:val="默认段落字体 Para Char"/>
    <w:basedOn w:val="1"/>
    <w:qFormat/>
    <w:uiPriority w:val="0"/>
    <w:rPr>
      <w:sz w:val="24"/>
      <w:szCs w:val="24"/>
    </w:rPr>
  </w:style>
  <w:style w:type="paragraph" w:customStyle="1" w:styleId="78">
    <w:name w:val="p0"/>
    <w:basedOn w:val="1"/>
    <w:qFormat/>
    <w:uiPriority w:val="0"/>
    <w:pPr>
      <w:widowControl/>
    </w:pPr>
    <w:rPr>
      <w:kern w:val="0"/>
      <w:szCs w:val="21"/>
    </w:rPr>
  </w:style>
  <w:style w:type="paragraph" w:customStyle="1" w:styleId="79">
    <w:name w:val="正文表标题"/>
    <w:next w:val="1"/>
    <w:qFormat/>
    <w:uiPriority w:val="0"/>
    <w:pPr>
      <w:spacing w:beforeLines="50" w:afterLines="50"/>
      <w:jc w:val="center"/>
    </w:pPr>
    <w:rPr>
      <w:rFonts w:ascii="Times New Roman" w:hAnsi="Times New Roman" w:eastAsia="黑体" w:cs="Times New Roman"/>
      <w:sz w:val="21"/>
      <w:lang w:val="en-US" w:eastAsia="zh-CN" w:bidi="ar-SA"/>
    </w:rPr>
  </w:style>
  <w:style w:type="paragraph" w:customStyle="1" w:styleId="80">
    <w:name w:val="Char1 Char Char Char"/>
    <w:basedOn w:val="1"/>
    <w:qFormat/>
    <w:uiPriority w:val="0"/>
    <w:rPr>
      <w:sz w:val="24"/>
      <w:szCs w:val="24"/>
    </w:rPr>
  </w:style>
  <w:style w:type="paragraph" w:customStyle="1" w:styleId="81">
    <w:name w:val="zxz5"/>
    <w:next w:val="1"/>
    <w:qFormat/>
    <w:uiPriority w:val="0"/>
    <w:pPr>
      <w:tabs>
        <w:tab w:val="left" w:pos="0"/>
      </w:tabs>
      <w:jc w:val="center"/>
    </w:pPr>
    <w:rPr>
      <w:rFonts w:ascii="宋体" w:hAnsi="宋体" w:eastAsia="Times New Roman" w:cs="宋体"/>
      <w:bCs/>
      <w:kern w:val="2"/>
      <w:sz w:val="18"/>
      <w:szCs w:val="18"/>
      <w:lang w:val="en-US" w:eastAsia="zh-CN" w:bidi="ar-SA"/>
    </w:rPr>
  </w:style>
  <w:style w:type="paragraph" w:customStyle="1" w:styleId="82">
    <w:name w:val="样式 标题 3 + 黑色 段前: 0行 段后: 0 行"/>
    <w:basedOn w:val="2"/>
    <w:qFormat/>
    <w:uiPriority w:val="0"/>
    <w:pPr>
      <w:tabs>
        <w:tab w:val="left" w:pos="1080"/>
      </w:tabs>
      <w:adjustRightInd w:val="0"/>
      <w:snapToGrid w:val="0"/>
      <w:spacing w:beforeLines="50" w:afterLines="50" w:line="360" w:lineRule="auto"/>
    </w:pPr>
    <w:rPr>
      <w:rFonts w:ascii="仿宋_GB2312" w:eastAsia="仿宋_GB2312" w:cs="宋体"/>
      <w:b w:val="0"/>
      <w:bCs w:val="0"/>
      <w:color w:val="000000"/>
      <w:sz w:val="28"/>
      <w:szCs w:val="20"/>
    </w:rPr>
  </w:style>
  <w:style w:type="paragraph" w:customStyle="1" w:styleId="83">
    <w:name w:val="样式 首行缩进:  0.99 厘米 行距: 1.5 倍行距2"/>
    <w:basedOn w:val="1"/>
    <w:qFormat/>
    <w:uiPriority w:val="0"/>
    <w:pPr>
      <w:adjustRightInd w:val="0"/>
      <w:snapToGrid w:val="0"/>
      <w:jc w:val="center"/>
    </w:pPr>
    <w:rPr>
      <w:rFonts w:ascii="宋体" w:hAnsi="宋体"/>
      <w:color w:val="FF0000"/>
      <w:szCs w:val="21"/>
    </w:rPr>
  </w:style>
  <w:style w:type="paragraph" w:customStyle="1" w:styleId="84">
    <w:name w:val="样式 (西文) Times New Roman (中文) 宋体 行距: 1.5 倍行距"/>
    <w:basedOn w:val="1"/>
    <w:qFormat/>
    <w:uiPriority w:val="0"/>
    <w:pPr>
      <w:adjustRightInd w:val="0"/>
      <w:snapToGrid w:val="0"/>
      <w:spacing w:line="360" w:lineRule="auto"/>
      <w:ind w:firstLine="547" w:firstLineChars="200"/>
    </w:pPr>
    <w:rPr>
      <w:rFonts w:ascii="ISOCTEUR" w:hAnsi="ISOCTEUR" w:cs="Courier New"/>
      <w:w w:val="98"/>
      <w:sz w:val="28"/>
    </w:rPr>
  </w:style>
  <w:style w:type="paragraph" w:customStyle="1" w:styleId="85">
    <w:name w:val="样式1"/>
    <w:basedOn w:val="1"/>
    <w:next w:val="18"/>
    <w:qFormat/>
    <w:uiPriority w:val="0"/>
    <w:pPr>
      <w:spacing w:line="240" w:lineRule="atLeast"/>
      <w:jc w:val="center"/>
    </w:pPr>
    <w:rPr>
      <w:rFonts w:ascii="Courier New" w:hAnsi="Courier New" w:cs="ISOCTEUR"/>
      <w:color w:val="000000"/>
      <w:kern w:val="24"/>
      <w:szCs w:val="21"/>
    </w:rPr>
  </w:style>
  <w:style w:type="paragraph" w:customStyle="1" w:styleId="86">
    <w:name w:val="图文框"/>
    <w:basedOn w:val="1"/>
    <w:qFormat/>
    <w:uiPriority w:val="0"/>
    <w:pPr>
      <w:jc w:val="center"/>
    </w:pPr>
    <w:rPr>
      <w:rFonts w:ascii="宋体" w:hAnsi="宋体"/>
      <w:sz w:val="24"/>
      <w:szCs w:val="24"/>
    </w:rPr>
  </w:style>
  <w:style w:type="paragraph" w:customStyle="1" w:styleId="87">
    <w:name w:val="正文1"/>
    <w:qFormat/>
    <w:uiPriority w:val="0"/>
    <w:pPr>
      <w:widowControl w:val="0"/>
      <w:adjustRightInd w:val="0"/>
      <w:spacing w:line="360" w:lineRule="atLeast"/>
      <w:textAlignment w:val="baseline"/>
    </w:pPr>
    <w:rPr>
      <w:rFonts w:ascii="Courier New" w:hAnsi="ISOCTEUR" w:eastAsia="宋体" w:cs="ISOCTEUR"/>
      <w:sz w:val="34"/>
      <w:lang w:val="en-US" w:eastAsia="zh-CN" w:bidi="ar-SA"/>
    </w:rPr>
  </w:style>
  <w:style w:type="paragraph" w:customStyle="1" w:styleId="88">
    <w:name w:val="Char2"/>
    <w:basedOn w:val="1"/>
    <w:qFormat/>
    <w:uiPriority w:val="0"/>
    <w:rPr>
      <w:sz w:val="24"/>
      <w:szCs w:val="24"/>
    </w:rPr>
  </w:style>
  <w:style w:type="paragraph" w:customStyle="1" w:styleId="89">
    <w:name w:val="Char Char Char1 Char Char Char1 Char"/>
    <w:basedOn w:val="1"/>
    <w:qFormat/>
    <w:uiPriority w:val="0"/>
    <w:rPr>
      <w:rFonts w:ascii="ISOCTEUR" w:hAnsi="ISOCTEUR" w:cs="ISOCTEUR"/>
      <w:sz w:val="24"/>
      <w:szCs w:val="24"/>
    </w:rPr>
  </w:style>
  <w:style w:type="paragraph" w:customStyle="1" w:styleId="90">
    <w:name w:val="正文（首行缩进两字） Char Char1"/>
    <w:basedOn w:val="1"/>
    <w:next w:val="11"/>
    <w:qFormat/>
    <w:uiPriority w:val="0"/>
    <w:pPr>
      <w:adjustRightInd w:val="0"/>
      <w:snapToGrid w:val="0"/>
      <w:spacing w:line="300" w:lineRule="auto"/>
      <w:ind w:firstLine="200" w:firstLineChars="200"/>
    </w:pPr>
    <w:rPr>
      <w:rFonts w:ascii="仿宋_GB2312" w:eastAsia="仿宋_GB2312"/>
      <w:color w:val="000000"/>
      <w:sz w:val="28"/>
      <w:szCs w:val="24"/>
    </w:rPr>
  </w:style>
  <w:style w:type="paragraph" w:customStyle="1" w:styleId="91">
    <w:name w:val="B"/>
    <w:basedOn w:val="25"/>
    <w:qFormat/>
    <w:uiPriority w:val="0"/>
    <w:pPr>
      <w:spacing w:beforeLines="20" w:afterLines="20" w:line="240" w:lineRule="auto"/>
    </w:pPr>
    <w:rPr>
      <w:rFonts w:ascii="ISOCTEUR" w:hAnsi="ISOCTEUR" w:eastAsia="宋体" w:cs="ISOCTEUR"/>
      <w:b/>
      <w:sz w:val="21"/>
    </w:rPr>
  </w:style>
  <w:style w:type="paragraph" w:customStyle="1" w:styleId="92">
    <w:name w:val="Default"/>
    <w:qFormat/>
    <w:uiPriority w:val="0"/>
    <w:pPr>
      <w:widowControl w:val="0"/>
      <w:autoSpaceDE w:val="0"/>
      <w:autoSpaceDN w:val="0"/>
      <w:adjustRightInd w:val="0"/>
    </w:pPr>
    <w:rPr>
      <w:rFonts w:ascii="Courier New" w:hAnsi="ISOCTEUR" w:eastAsia="宋体" w:cs="Courier New"/>
      <w:color w:val="000000"/>
      <w:sz w:val="24"/>
      <w:szCs w:val="24"/>
      <w:lang w:val="en-US" w:eastAsia="zh-CN" w:bidi="ar-SA"/>
    </w:rPr>
  </w:style>
  <w:style w:type="paragraph" w:customStyle="1" w:styleId="93">
    <w:name w:val="Char Char Char Char Char Char Char Char Char1 Char Char Char Char Char Char"/>
    <w:basedOn w:val="1"/>
    <w:qFormat/>
    <w:uiPriority w:val="0"/>
  </w:style>
  <w:style w:type="paragraph" w:customStyle="1" w:styleId="94">
    <w:name w:val="Char Char Char Char"/>
    <w:basedOn w:val="1"/>
    <w:qFormat/>
    <w:uiPriority w:val="0"/>
    <w:rPr>
      <w:szCs w:val="24"/>
    </w:rPr>
  </w:style>
  <w:style w:type="paragraph" w:customStyle="1" w:styleId="95">
    <w:name w:val="Char Char Char Char Char Char Char Char Char Char Char Char Char Char Char Char Char Char Char Char Char Char Char Char Char"/>
    <w:basedOn w:val="1"/>
    <w:qFormat/>
    <w:uiPriority w:val="0"/>
    <w:rPr>
      <w:szCs w:val="24"/>
    </w:rPr>
  </w:style>
  <w:style w:type="paragraph" w:customStyle="1" w:styleId="96">
    <w:name w:val="正文01"/>
    <w:basedOn w:val="1"/>
    <w:qFormat/>
    <w:uiPriority w:val="0"/>
    <w:pPr>
      <w:adjustRightInd w:val="0"/>
      <w:snapToGrid w:val="0"/>
      <w:spacing w:before="60" w:line="460" w:lineRule="exact"/>
      <w:ind w:firstLine="200" w:firstLineChars="200"/>
    </w:pPr>
    <w:rPr>
      <w:sz w:val="24"/>
      <w:szCs w:val="24"/>
    </w:rPr>
  </w:style>
  <w:style w:type="paragraph" w:customStyle="1" w:styleId="97">
    <w:name w:val="正文-1"/>
    <w:basedOn w:val="1"/>
    <w:qFormat/>
    <w:uiPriority w:val="0"/>
    <w:pPr>
      <w:adjustRightInd w:val="0"/>
      <w:spacing w:line="440" w:lineRule="exact"/>
      <w:ind w:firstLine="200" w:firstLineChars="200"/>
    </w:pPr>
    <w:rPr>
      <w:rFonts w:ascii="ISOCTEUR" w:hAnsi="ISOCTEUR" w:cs="ISOCTEUR"/>
      <w:sz w:val="24"/>
    </w:rPr>
  </w:style>
  <w:style w:type="paragraph" w:customStyle="1" w:styleId="98">
    <w:name w:val="样式 样式 标题 3 + 段前: 0.5 行 段后: 0.5 行 + 段前: 0.5 行 段后: 0.5 行"/>
    <w:basedOn w:val="1"/>
    <w:qFormat/>
    <w:uiPriority w:val="0"/>
    <w:pPr>
      <w:keepNext/>
      <w:keepLines/>
      <w:tabs>
        <w:tab w:val="left" w:pos="486"/>
      </w:tabs>
      <w:adjustRightInd w:val="0"/>
      <w:snapToGrid w:val="0"/>
      <w:spacing w:beforeLines="50" w:afterLines="50" w:line="300" w:lineRule="auto"/>
      <w:ind w:left="126"/>
      <w:jc w:val="center"/>
      <w:outlineLvl w:val="2"/>
    </w:pPr>
    <w:rPr>
      <w:rFonts w:ascii="宋体" w:hAnsi="宋体"/>
      <w:sz w:val="24"/>
    </w:rPr>
  </w:style>
  <w:style w:type="paragraph" w:customStyle="1" w:styleId="99">
    <w:name w:val="Char Char Char Char Char Char"/>
    <w:basedOn w:val="1"/>
    <w:qFormat/>
    <w:uiPriority w:val="0"/>
    <w:rPr>
      <w:rFonts w:ascii="ISOCTEUR" w:hAnsi="ISOCTEUR" w:cs="ISOCTEUR"/>
      <w:sz w:val="24"/>
      <w:szCs w:val="24"/>
    </w:rPr>
  </w:style>
  <w:style w:type="paragraph" w:customStyle="1" w:styleId="100">
    <w:name w:val="Char Char Char Char Char Char1 Char Char Char Char Char Char Char Char Char Char Char Char1 Char Char Char Char Char Char Char Char Char Char Char Char Char"/>
    <w:basedOn w:val="1"/>
    <w:qFormat/>
    <w:uiPriority w:val="0"/>
    <w:rPr>
      <w:sz w:val="24"/>
      <w:szCs w:val="24"/>
    </w:rPr>
  </w:style>
  <w:style w:type="paragraph" w:customStyle="1" w:styleId="101">
    <w:name w:val="Char"/>
    <w:basedOn w:val="1"/>
    <w:qFormat/>
    <w:uiPriority w:val="0"/>
    <w:rPr>
      <w:sz w:val="24"/>
      <w:szCs w:val="24"/>
    </w:rPr>
  </w:style>
  <w:style w:type="paragraph" w:customStyle="1" w:styleId="102">
    <w:name w:val="Char Char Char"/>
    <w:basedOn w:val="1"/>
    <w:qFormat/>
    <w:uiPriority w:val="0"/>
    <w:rPr>
      <w:sz w:val="24"/>
      <w:szCs w:val="24"/>
    </w:rPr>
  </w:style>
  <w:style w:type="paragraph" w:customStyle="1" w:styleId="103">
    <w:name w:val="Char Char Char1 Char Char Char1 Char1"/>
    <w:basedOn w:val="1"/>
    <w:qFormat/>
    <w:uiPriority w:val="0"/>
    <w:rPr>
      <w:rFonts w:ascii="ISOCTEUR" w:hAnsi="ISOCTEUR" w:cs="ISOCTEUR"/>
      <w:sz w:val="24"/>
      <w:szCs w:val="24"/>
    </w:rPr>
  </w:style>
  <w:style w:type="paragraph" w:customStyle="1" w:styleId="104">
    <w:name w:val="Char Char Char Char Char Char Char"/>
    <w:basedOn w:val="1"/>
    <w:qFormat/>
    <w:uiPriority w:val="0"/>
    <w:rPr>
      <w:sz w:val="24"/>
      <w:szCs w:val="24"/>
    </w:rPr>
  </w:style>
  <w:style w:type="paragraph" w:customStyle="1" w:styleId="105">
    <w:name w:val="Char Char Char2"/>
    <w:basedOn w:val="1"/>
    <w:qFormat/>
    <w:uiPriority w:val="0"/>
  </w:style>
  <w:style w:type="paragraph" w:customStyle="1" w:styleId="106">
    <w:name w:val="Char Char Char Char1"/>
    <w:basedOn w:val="1"/>
    <w:qFormat/>
    <w:uiPriority w:val="0"/>
    <w:rPr>
      <w:sz w:val="24"/>
      <w:szCs w:val="24"/>
    </w:rPr>
  </w:style>
  <w:style w:type="paragraph" w:customStyle="1" w:styleId="107">
    <w:name w:val="小四宋居中1.0"/>
    <w:basedOn w:val="1"/>
    <w:next w:val="1"/>
    <w:qFormat/>
    <w:uiPriority w:val="0"/>
    <w:pPr>
      <w:spacing w:line="400" w:lineRule="exact"/>
    </w:pPr>
    <w:rPr>
      <w:rFonts w:ascii="仿宋_GB2312" w:hAnsi="ISOCTEUR" w:eastAsia="仿宋_GB2312" w:cs="ISOCTEUR"/>
      <w:sz w:val="24"/>
      <w:szCs w:val="24"/>
    </w:rPr>
  </w:style>
  <w:style w:type="paragraph" w:customStyle="1" w:styleId="108">
    <w:name w:val="表文字"/>
    <w:basedOn w:val="92"/>
    <w:next w:val="92"/>
    <w:qFormat/>
    <w:uiPriority w:val="0"/>
    <w:rPr>
      <w:rFonts w:cs="ISOCTEUR"/>
      <w:color w:val="auto"/>
    </w:rPr>
  </w:style>
  <w:style w:type="paragraph" w:customStyle="1" w:styleId="109">
    <w:name w:val="表头1"/>
    <w:basedOn w:val="19"/>
    <w:qFormat/>
    <w:uiPriority w:val="0"/>
    <w:pPr>
      <w:spacing w:line="360" w:lineRule="auto"/>
      <w:jc w:val="center"/>
      <w:textAlignment w:val="baseline"/>
    </w:pPr>
    <w:rPr>
      <w:rFonts w:ascii="Times New Roman" w:hAnsi="Times New Roman"/>
      <w:b/>
      <w:color w:val="000000"/>
      <w:kern w:val="0"/>
      <w:sz w:val="24"/>
    </w:rPr>
  </w:style>
  <w:style w:type="paragraph" w:customStyle="1" w:styleId="110">
    <w:name w:val="Char Char Char1"/>
    <w:basedOn w:val="1"/>
    <w:qFormat/>
    <w:uiPriority w:val="0"/>
    <w:rPr>
      <w:sz w:val="24"/>
      <w:szCs w:val="24"/>
    </w:rPr>
  </w:style>
  <w:style w:type="paragraph" w:customStyle="1" w:styleId="111">
    <w:name w:val="Char Char Char1 Char Char Char Char Char Char"/>
    <w:basedOn w:val="1"/>
    <w:qFormat/>
    <w:uiPriority w:val="0"/>
    <w:rPr>
      <w:sz w:val="24"/>
      <w:szCs w:val="24"/>
    </w:rPr>
  </w:style>
  <w:style w:type="paragraph" w:customStyle="1" w:styleId="112">
    <w:name w:val="样式4"/>
    <w:basedOn w:val="2"/>
    <w:qFormat/>
    <w:uiPriority w:val="0"/>
    <w:pPr>
      <w:keepNext w:val="0"/>
      <w:tabs>
        <w:tab w:val="left" w:pos="1032"/>
      </w:tabs>
      <w:adjustRightInd w:val="0"/>
      <w:snapToGrid w:val="0"/>
      <w:spacing w:beforeLines="50" w:after="0" w:line="360" w:lineRule="auto"/>
      <w:ind w:left="1032" w:hanging="890"/>
    </w:pPr>
    <w:rPr>
      <w:rFonts w:ascii="仿宋_GB2312" w:eastAsia="仿宋_GB2312"/>
      <w:b w:val="0"/>
      <w:bCs w:val="0"/>
      <w:sz w:val="28"/>
    </w:rPr>
  </w:style>
  <w:style w:type="paragraph" w:customStyle="1" w:styleId="113">
    <w:name w:val="默认段落字体 Para Char Char Char Char"/>
    <w:basedOn w:val="1"/>
    <w:qFormat/>
    <w:uiPriority w:val="0"/>
    <w:rPr>
      <w:rFonts w:ascii="ISOCTEUR" w:hAnsi="ISOCTEUR" w:cs="ISOCTEUR"/>
      <w:sz w:val="24"/>
      <w:szCs w:val="24"/>
    </w:rPr>
  </w:style>
  <w:style w:type="paragraph" w:customStyle="1" w:styleId="114">
    <w:name w:val="小四表文左齐"/>
    <w:basedOn w:val="1"/>
    <w:qFormat/>
    <w:uiPriority w:val="0"/>
    <w:pPr>
      <w:adjustRightInd w:val="0"/>
      <w:snapToGrid w:val="0"/>
      <w:ind w:left="-109" w:leftChars="-52" w:right="-86" w:rightChars="-41" w:firstLine="1"/>
      <w:jc w:val="left"/>
    </w:pPr>
    <w:rPr>
      <w:rFonts w:ascii="宋体" w:hAnsi="宋体"/>
      <w:szCs w:val="24"/>
    </w:rPr>
  </w:style>
  <w:style w:type="table" w:customStyle="1" w:styleId="115">
    <w:name w:val="1"/>
    <w:basedOn w:val="33"/>
    <w:qFormat/>
    <w:uiPriority w:val="0"/>
    <w:tblPr>
      <w:tblCellMar>
        <w:top w:w="0" w:type="dxa"/>
        <w:left w:w="108" w:type="dxa"/>
        <w:bottom w:w="0" w:type="dxa"/>
        <w:right w:w="108" w:type="dxa"/>
      </w:tblCellMar>
    </w:tblPr>
  </w:style>
  <w:style w:type="paragraph" w:customStyle="1" w:styleId="116">
    <w:name w:val="纯文本2"/>
    <w:basedOn w:val="1"/>
    <w:qFormat/>
    <w:uiPriority w:val="99"/>
    <w:rPr>
      <w:rFonts w:ascii="宋体" w:hAnsi="Courier New"/>
      <w:szCs w:val="21"/>
    </w:rPr>
  </w:style>
  <w:style w:type="paragraph" w:customStyle="1" w:styleId="117">
    <w:name w:val="报告表三级标题"/>
    <w:basedOn w:val="1"/>
    <w:link w:val="118"/>
    <w:qFormat/>
    <w:uiPriority w:val="0"/>
    <w:pPr>
      <w:spacing w:line="360" w:lineRule="auto"/>
    </w:pPr>
    <w:rPr>
      <w:sz w:val="24"/>
      <w:szCs w:val="24"/>
    </w:rPr>
  </w:style>
  <w:style w:type="character" w:customStyle="1" w:styleId="118">
    <w:name w:val="报告表三级标题 Char"/>
    <w:link w:val="117"/>
    <w:qFormat/>
    <w:uiPriority w:val="0"/>
    <w:rPr>
      <w:kern w:val="2"/>
      <w:sz w:val="24"/>
      <w:szCs w:val="24"/>
    </w:rPr>
  </w:style>
  <w:style w:type="paragraph" w:customStyle="1" w:styleId="119">
    <w:name w:val="表头标题"/>
    <w:basedOn w:val="1"/>
    <w:qFormat/>
    <w:uiPriority w:val="0"/>
    <w:pPr>
      <w:spacing w:line="480" w:lineRule="exact"/>
      <w:jc w:val="center"/>
    </w:pPr>
    <w:rPr>
      <w:rFonts w:ascii="仿宋_GB2312" w:eastAsia="仿宋_GB2312"/>
      <w:sz w:val="24"/>
      <w:szCs w:val="24"/>
    </w:rPr>
  </w:style>
  <w:style w:type="paragraph" w:customStyle="1" w:styleId="120">
    <w:name w:val="图文字"/>
    <w:basedOn w:val="1"/>
    <w:next w:val="1"/>
    <w:qFormat/>
    <w:uiPriority w:val="0"/>
    <w:pPr>
      <w:widowControl/>
      <w:snapToGrid w:val="0"/>
    </w:pPr>
    <w:rPr>
      <w:rFonts w:ascii="Arial" w:hAnsi="Arial" w:eastAsia="楷体_GB2312"/>
      <w:sz w:val="24"/>
    </w:rPr>
  </w:style>
  <w:style w:type="paragraph" w:customStyle="1" w:styleId="121">
    <w:name w:val="样式 XYF1 + 宋体"/>
    <w:basedOn w:val="1"/>
    <w:qFormat/>
    <w:uiPriority w:val="0"/>
    <w:pPr>
      <w:tabs>
        <w:tab w:val="left" w:pos="1080"/>
      </w:tabs>
      <w:spacing w:line="480" w:lineRule="exact"/>
      <w:ind w:firstLine="200" w:firstLineChars="200"/>
    </w:pPr>
    <w:rPr>
      <w:rFonts w:ascii="宋体" w:hAnsi="宋体" w:cs="宋体"/>
      <w:sz w:val="28"/>
    </w:rPr>
  </w:style>
  <w:style w:type="paragraph" w:customStyle="1" w:styleId="122">
    <w:name w:val="正文文字"/>
    <w:basedOn w:val="1"/>
    <w:qFormat/>
    <w:uiPriority w:val="0"/>
    <w:pPr>
      <w:spacing w:line="360" w:lineRule="auto"/>
      <w:ind w:firstLine="567"/>
    </w:pPr>
    <w:rPr>
      <w:rFonts w:eastAsia="仿宋_GB2312"/>
      <w:sz w:val="28"/>
      <w:szCs w:val="28"/>
    </w:rPr>
  </w:style>
  <w:style w:type="paragraph" w:styleId="123">
    <w:name w:val="List Paragraph"/>
    <w:basedOn w:val="1"/>
    <w:qFormat/>
    <w:uiPriority w:val="99"/>
    <w:pPr>
      <w:ind w:firstLine="420" w:firstLineChars="200"/>
    </w:pPr>
    <w:rPr>
      <w:szCs w:val="21"/>
    </w:rPr>
  </w:style>
  <w:style w:type="paragraph" w:customStyle="1" w:styleId="124">
    <w:name w:val="报告表一级标题"/>
    <w:basedOn w:val="3"/>
    <w:link w:val="125"/>
    <w:qFormat/>
    <w:uiPriority w:val="0"/>
    <w:pPr>
      <w:pageBreakBefore w:val="0"/>
      <w:spacing w:line="480" w:lineRule="auto"/>
    </w:pPr>
    <w:rPr>
      <w:rFonts w:eastAsia="宋体"/>
      <w:sz w:val="30"/>
      <w:szCs w:val="30"/>
    </w:rPr>
  </w:style>
  <w:style w:type="character" w:customStyle="1" w:styleId="125">
    <w:name w:val="报告表一级标题 Char"/>
    <w:link w:val="124"/>
    <w:qFormat/>
    <w:uiPriority w:val="0"/>
    <w:rPr>
      <w:b/>
      <w:bCs/>
      <w:kern w:val="44"/>
      <w:sz w:val="30"/>
      <w:szCs w:val="30"/>
    </w:rPr>
  </w:style>
  <w:style w:type="paragraph" w:customStyle="1" w:styleId="126">
    <w:name w:val="正文格式"/>
    <w:basedOn w:val="1"/>
    <w:link w:val="127"/>
    <w:qFormat/>
    <w:uiPriority w:val="0"/>
    <w:pPr>
      <w:adjustRightInd w:val="0"/>
      <w:snapToGrid w:val="0"/>
      <w:spacing w:line="360" w:lineRule="auto"/>
      <w:ind w:firstLine="200" w:firstLineChars="200"/>
    </w:pPr>
    <w:rPr>
      <w:sz w:val="24"/>
      <w:szCs w:val="22"/>
    </w:rPr>
  </w:style>
  <w:style w:type="character" w:customStyle="1" w:styleId="127">
    <w:name w:val="正文格式 Char"/>
    <w:link w:val="126"/>
    <w:qFormat/>
    <w:uiPriority w:val="0"/>
    <w:rPr>
      <w:kern w:val="2"/>
      <w:sz w:val="24"/>
      <w:szCs w:val="22"/>
    </w:rPr>
  </w:style>
  <w:style w:type="character" w:customStyle="1" w:styleId="128">
    <w:name w:val="表头 Char"/>
    <w:link w:val="41"/>
    <w:qFormat/>
    <w:uiPriority w:val="0"/>
    <w:rPr>
      <w:b/>
      <w:sz w:val="24"/>
    </w:rPr>
  </w:style>
  <w:style w:type="character" w:customStyle="1" w:styleId="129">
    <w:name w:val="纯文本 Char2"/>
    <w:qFormat/>
    <w:uiPriority w:val="0"/>
    <w:rPr>
      <w:rFonts w:ascii="宋体" w:hAnsi="Courier New"/>
      <w:kern w:val="2"/>
      <w:sz w:val="21"/>
    </w:rPr>
  </w:style>
  <w:style w:type="character" w:customStyle="1" w:styleId="130">
    <w:name w:val="新正文 Char"/>
    <w:link w:val="131"/>
    <w:qFormat/>
    <w:uiPriority w:val="0"/>
    <w:rPr>
      <w:rFonts w:ascii="宋体"/>
      <w:sz w:val="24"/>
    </w:rPr>
  </w:style>
  <w:style w:type="paragraph" w:customStyle="1" w:styleId="131">
    <w:name w:val="新正文"/>
    <w:basedOn w:val="1"/>
    <w:link w:val="130"/>
    <w:qFormat/>
    <w:uiPriority w:val="0"/>
    <w:pPr>
      <w:spacing w:line="460" w:lineRule="exact"/>
      <w:ind w:firstLine="454"/>
    </w:pPr>
    <w:rPr>
      <w:rFonts w:ascii="宋体"/>
      <w:kern w:val="0"/>
      <w:sz w:val="24"/>
    </w:rPr>
  </w:style>
  <w:style w:type="paragraph" w:customStyle="1" w:styleId="132">
    <w:name w:val="Char Char1 Char Char"/>
    <w:basedOn w:val="1"/>
    <w:qFormat/>
    <w:uiPriority w:val="0"/>
    <w:rPr>
      <w:rFonts w:hAnsi="Courier" w:eastAsia="PMingLiU"/>
      <w:kern w:val="0"/>
      <w:sz w:val="24"/>
      <w:lang w:eastAsia="zh-TW"/>
    </w:rPr>
  </w:style>
  <w:style w:type="character" w:customStyle="1" w:styleId="133">
    <w:name w:val="正文缩进 Char"/>
    <w:link w:val="11"/>
    <w:qFormat/>
    <w:uiPriority w:val="0"/>
    <w:rPr>
      <w:kern w:val="2"/>
      <w:sz w:val="28"/>
      <w:szCs w:val="24"/>
    </w:rPr>
  </w:style>
  <w:style w:type="character" w:customStyle="1" w:styleId="134">
    <w:name w:val="样式 表格 + 黑色 Char Char"/>
    <w:qFormat/>
    <w:uiPriority w:val="0"/>
    <w:rPr>
      <w:snapToGrid w:val="0"/>
      <w:color w:val="000000"/>
      <w:spacing w:val="-4"/>
      <w:sz w:val="21"/>
      <w:szCs w:val="21"/>
    </w:rPr>
  </w:style>
  <w:style w:type="character" w:customStyle="1" w:styleId="135">
    <w:name w:val="批注文字 Char"/>
    <w:basedOn w:val="36"/>
    <w:link w:val="14"/>
    <w:qFormat/>
    <w:locked/>
    <w:uiPriority w:val="0"/>
    <w:rPr>
      <w:kern w:val="2"/>
      <w:sz w:val="21"/>
    </w:rPr>
  </w:style>
  <w:style w:type="paragraph" w:customStyle="1" w:styleId="136">
    <w:name w:val="0正文"/>
    <w:basedOn w:val="29"/>
    <w:link w:val="139"/>
    <w:semiHidden/>
    <w:qFormat/>
    <w:uiPriority w:val="99"/>
    <w:pPr>
      <w:adjustRightInd w:val="0"/>
      <w:snapToGrid w:val="0"/>
      <w:spacing w:before="0" w:beforeAutospacing="0" w:after="0" w:afterAutospacing="0" w:line="360" w:lineRule="auto"/>
      <w:ind w:firstLine="200" w:firstLineChars="200"/>
      <w:jc w:val="both"/>
    </w:pPr>
    <w:rPr>
      <w:rFonts w:ascii="Times New Roman" w:hAnsi="Times New Roman"/>
      <w:kern w:val="2"/>
    </w:rPr>
  </w:style>
  <w:style w:type="paragraph" w:customStyle="1" w:styleId="137">
    <w:name w:val="宗兴正文"/>
    <w:basedOn w:val="1"/>
    <w:semiHidden/>
    <w:qFormat/>
    <w:uiPriority w:val="99"/>
    <w:pPr>
      <w:spacing w:line="360" w:lineRule="auto"/>
      <w:ind w:firstLine="480" w:firstLineChars="200"/>
    </w:pPr>
    <w:rPr>
      <w:rFonts w:ascii="Calibri" w:hAnsi="Calibri"/>
      <w:szCs w:val="24"/>
    </w:rPr>
  </w:style>
  <w:style w:type="character" w:customStyle="1" w:styleId="138">
    <w:name w:val="表格 Char Char"/>
    <w:qFormat/>
    <w:uiPriority w:val="0"/>
    <w:rPr>
      <w:kern w:val="2"/>
      <w:sz w:val="24"/>
      <w:szCs w:val="24"/>
    </w:rPr>
  </w:style>
  <w:style w:type="character" w:customStyle="1" w:styleId="139">
    <w:name w:val="0正文 Char"/>
    <w:link w:val="136"/>
    <w:unhideWhenUsed/>
    <w:qFormat/>
    <w:uiPriority w:val="0"/>
    <w:rPr>
      <w:rFonts w:hint="default" w:ascii="Times New Roman" w:hAnsi="Times New Roman" w:eastAsia="宋体"/>
      <w:kern w:val="2"/>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6314"/>
    <customShpInfo spid="_x0000_s6315"/>
    <customShpInfo spid="_x0000_s6316"/>
    <customShpInfo spid="_x0000_s6317"/>
    <customShpInfo spid="_x0000_s6318"/>
    <customShpInfo spid="_x0000_s6319"/>
    <customShpInfo spid="_x0000_s6320"/>
    <customShpInfo spid="_x0000_s6321"/>
    <customShpInfo spid="_x0000_s6322"/>
    <customShpInfo spid="_x0000_s6323"/>
    <customShpInfo spid="_x0000_s6324"/>
    <customShpInfo spid="_x0000_s6325"/>
    <customShpInfo spid="_x0000_s6326"/>
    <customShpInfo spid="_x0000_s6327"/>
    <customShpInfo spid="_x0000_s6328"/>
    <customShpInfo spid="_x0000_s6329"/>
    <customShpInfo spid="_x0000_s6330"/>
    <customShpInfo spid="_x0000_s6331"/>
    <customShpInfo spid="_x0000_s6332"/>
    <customShpInfo spid="_x0000_s6333"/>
    <customShpInfo spid="_x0000_s6334"/>
    <customShpInfo spid="_x0000_s6335"/>
    <customShpInfo spid="_x0000_s6336"/>
    <customShpInfo spid="_x0000_s1028"/>
    <customShpInfo spid="_x0000_s6338"/>
    <customShpInfo spid="_x0000_s6339"/>
    <customShpInfo spid="_x0000_s6340"/>
    <customShpInfo spid="_x0000_s6341"/>
    <customShpInfo spid="_x0000_s6342"/>
    <customShpInfo spid="_x0000_s6343"/>
    <customShpInfo spid="_x0000_s6344"/>
    <customShpInfo spid="_x0000_s6345"/>
    <customShpInfo spid="_x0000_s6346"/>
    <customShpInfo spid="_x0000_s6347"/>
    <customShpInfo spid="_x0000_s6348"/>
    <customShpInfo spid="_x0000_s6349"/>
    <customShpInfo spid="_x0000_s6350"/>
    <customShpInfo spid="_x0000_s6351"/>
    <customShpInfo spid="_x0000_s6352"/>
    <customShpInfo spid="_x0000_s6353"/>
    <customShpInfo spid="_x0000_s6354"/>
    <customShpInfo spid="_x0000_s6355"/>
    <customShpInfo spid="_x0000_s6356"/>
    <customShpInfo spid="_x0000_s6357"/>
    <customShpInfo spid="_x0000_s6358"/>
    <customShpInfo spid="_x0000_s633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9882C1-4825-4D34-B17B-C4590F70F93B}">
  <ds:schemaRefs/>
</ds:datastoreItem>
</file>

<file path=docProps/app.xml><?xml version="1.0" encoding="utf-8"?>
<Properties xmlns="http://schemas.openxmlformats.org/officeDocument/2006/extended-properties" xmlns:vt="http://schemas.openxmlformats.org/officeDocument/2006/docPropsVTypes">
  <Template>泉票食品表.dot</Template>
  <Company>Sky123.Org</Company>
  <Pages>46</Pages>
  <Words>4164</Words>
  <Characters>23737</Characters>
  <Lines>197</Lines>
  <Paragraphs>55</Paragraphs>
  <TotalTime>10</TotalTime>
  <ScaleCrop>false</ScaleCrop>
  <LinksUpToDate>false</LinksUpToDate>
  <CharactersWithSpaces>27846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2017-07-11T03:07:00Z</dcterms:created>
  <dc:creator>akebolite</dc:creator>
  <cp:lastModifiedBy>37sq</cp:lastModifiedBy>
  <cp:lastPrinted>2018-05-02T06:03:00Z</cp:lastPrinted>
  <dcterms:modified xsi:type="dcterms:W3CDTF">2019-11-21T01:41:59Z</dcterms:modified>
  <dc:title>双良医药环境影响报告表</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